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rPr>
          <w:rFonts w:hint="eastAsia" w:ascii="宋体" w:hAnsi="宋体" w:eastAsia="宋体" w:cs="宋体"/>
          <w:sz w:val="44"/>
          <w:szCs w:val="44"/>
        </w:rPr>
      </w:pPr>
      <w:r>
        <w:rPr>
          <w:rFonts w:hint="eastAsia" w:ascii="黑体" w:hAnsi="黑体" w:eastAsia="黑体" w:cs="黑体"/>
          <w:sz w:val="48"/>
          <w:szCs w:val="48"/>
        </w:rPr>
        <w:drawing>
          <wp:anchor distT="0" distB="0" distL="114300" distR="114300" simplePos="0" relativeHeight="251659264" behindDoc="0" locked="0" layoutInCell="1" allowOverlap="1">
            <wp:simplePos x="0" y="0"/>
            <wp:positionH relativeFrom="column">
              <wp:posOffset>-284480</wp:posOffset>
            </wp:positionH>
            <wp:positionV relativeFrom="paragraph">
              <wp:posOffset>138430</wp:posOffset>
            </wp:positionV>
            <wp:extent cx="949960" cy="846455"/>
            <wp:effectExtent l="0" t="0" r="2540" b="10795"/>
            <wp:wrapSquare wrapText="bothSides"/>
            <wp:docPr id="1" name="图片 8" descr="校服最新2016.11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校服最新2016.11  b"/>
                    <pic:cNvPicPr>
                      <a:picLocks noChangeAspect="1"/>
                    </pic:cNvPicPr>
                  </pic:nvPicPr>
                  <pic:blipFill>
                    <a:blip r:embed="rId6"/>
                    <a:stretch>
                      <a:fillRect/>
                    </a:stretch>
                  </pic:blipFill>
                  <pic:spPr>
                    <a:xfrm>
                      <a:off x="0" y="0"/>
                      <a:ext cx="949960" cy="846455"/>
                    </a:xfrm>
                    <a:prstGeom prst="rect">
                      <a:avLst/>
                    </a:prstGeom>
                    <a:noFill/>
                    <a:ln>
                      <a:noFill/>
                    </a:ln>
                  </pic:spPr>
                </pic:pic>
              </a:graphicData>
            </a:graphic>
          </wp:anchor>
        </w:drawing>
      </w:r>
      <w:r>
        <w:rPr>
          <w:rFonts w:hint="eastAsia" w:ascii="黑体" w:hAnsi="黑体" w:eastAsia="黑体" w:cs="黑体"/>
          <w:b/>
          <w:bCs/>
          <w:sz w:val="48"/>
          <w:szCs w:val="48"/>
        </w:rPr>
        <w:t>松桃苗族自治县中等职业学校</w:t>
      </w:r>
    </w:p>
    <w:p>
      <w:pPr>
        <w:spacing w:line="800" w:lineRule="exact"/>
        <w:rPr>
          <w:rFonts w:hint="eastAsia" w:ascii="宋体" w:hAnsi="宋体" w:eastAsia="宋体" w:cs="宋体"/>
          <w:sz w:val="44"/>
          <w:szCs w:val="44"/>
        </w:rPr>
      </w:pPr>
      <w:r>
        <w:rPr>
          <w:rFonts w:hint="eastAsia" w:ascii="宋体" w:hAnsi="宋体" w:eastAsia="宋体" w:cs="宋体"/>
          <w:sz w:val="44"/>
          <w:szCs w:val="44"/>
        </w:rPr>
        <w:t>汽车运用与维修专业人才培养方案</w:t>
      </w:r>
    </w:p>
    <w:p>
      <w:pPr>
        <w:tabs>
          <w:tab w:val="left" w:pos="4666"/>
        </w:tabs>
        <w:spacing w:line="800" w:lineRule="exact"/>
        <w:rPr>
          <w:rFonts w:hint="eastAsia" w:ascii="仿宋GB-2312" w:hAnsi="仿宋GB-2312" w:eastAsia="仿宋GB-2312" w:cs="仿宋GB-2312"/>
          <w:sz w:val="44"/>
          <w:szCs w:val="44"/>
        </w:rPr>
      </w:pPr>
      <w:r>
        <w:rPr>
          <w:rFonts w:hint="eastAsia" w:ascii="仿宋GB-2312" w:hAnsi="仿宋GB-2312" w:eastAsia="仿宋GB-2312" w:cs="仿宋GB-2312"/>
          <w:sz w:val="44"/>
          <w:szCs w:val="44"/>
        </w:rPr>
        <w:tab/>
      </w:r>
    </w:p>
    <w:p>
      <w:pPr>
        <w:tabs>
          <w:tab w:val="left" w:pos="4666"/>
        </w:tabs>
        <w:spacing w:line="800" w:lineRule="exact"/>
        <w:rPr>
          <w:rFonts w:hint="eastAsia" w:ascii="仿宋" w:hAnsi="仿宋" w:eastAsia="仿宋" w:cs="仿宋"/>
          <w:b/>
          <w:bCs/>
          <w:sz w:val="36"/>
          <w:szCs w:val="36"/>
        </w:rPr>
      </w:pPr>
    </w:p>
    <w:p>
      <w:pPr>
        <w:tabs>
          <w:tab w:val="left" w:pos="4666"/>
        </w:tabs>
        <w:spacing w:line="800" w:lineRule="exact"/>
        <w:rPr>
          <w:rFonts w:hint="eastAsia" w:ascii="仿宋" w:hAnsi="仿宋" w:eastAsia="仿宋" w:cs="仿宋"/>
          <w:b/>
          <w:bCs/>
          <w:sz w:val="36"/>
          <w:szCs w:val="36"/>
        </w:rPr>
      </w:pPr>
    </w:p>
    <w:p>
      <w:pPr>
        <w:tabs>
          <w:tab w:val="left" w:pos="4666"/>
        </w:tabs>
        <w:spacing w:line="800" w:lineRule="exact"/>
        <w:ind w:firstLine="1807" w:firstLineChars="500"/>
        <w:rPr>
          <w:rFonts w:hint="eastAsia" w:ascii="仿宋" w:hAnsi="仿宋" w:eastAsia="仿宋" w:cs="仿宋"/>
          <w:b/>
          <w:bCs/>
          <w:sz w:val="36"/>
          <w:szCs w:val="36"/>
        </w:rPr>
      </w:pPr>
      <w:r>
        <w:rPr>
          <w:rFonts w:hint="eastAsia" w:ascii="仿宋" w:hAnsi="仿宋" w:eastAsia="仿宋" w:cs="仿宋"/>
          <w:b/>
          <w:bCs/>
          <w:sz w:val="36"/>
          <w:szCs w:val="36"/>
        </w:rPr>
        <w:t>专业名称：</w:t>
      </w:r>
      <w:r>
        <w:rPr>
          <w:rFonts w:hint="eastAsia" w:ascii="仿宋" w:hAnsi="仿宋" w:eastAsia="仿宋" w:cs="仿宋"/>
          <w:b/>
          <w:bCs/>
          <w:sz w:val="36"/>
          <w:szCs w:val="36"/>
          <w:u w:val="single"/>
        </w:rPr>
        <w:t xml:space="preserve"> 汽车运用与维修 </w:t>
      </w:r>
    </w:p>
    <w:p>
      <w:pPr>
        <w:tabs>
          <w:tab w:val="left" w:pos="4666"/>
        </w:tabs>
        <w:spacing w:line="800" w:lineRule="exact"/>
        <w:ind w:firstLine="1807" w:firstLineChars="500"/>
        <w:rPr>
          <w:rFonts w:hint="eastAsia" w:ascii="仿宋" w:hAnsi="仿宋" w:eastAsia="仿宋" w:cs="仿宋"/>
          <w:b/>
          <w:bCs/>
          <w:sz w:val="36"/>
          <w:szCs w:val="36"/>
        </w:rPr>
      </w:pPr>
      <w:r>
        <w:rPr>
          <w:rFonts w:hint="eastAsia" w:ascii="仿宋" w:hAnsi="仿宋" w:eastAsia="仿宋" w:cs="仿宋"/>
          <w:b/>
          <w:bCs/>
          <w:sz w:val="36"/>
          <w:szCs w:val="36"/>
        </w:rPr>
        <w:t>专业代码：</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700206</w:t>
      </w:r>
      <w:r>
        <w:rPr>
          <w:rFonts w:hint="eastAsia" w:ascii="仿宋" w:hAnsi="仿宋" w:eastAsia="仿宋" w:cs="仿宋"/>
          <w:b/>
          <w:bCs/>
          <w:sz w:val="36"/>
          <w:szCs w:val="36"/>
          <w:u w:val="single"/>
        </w:rPr>
        <w:t xml:space="preserve">     </w:t>
      </w:r>
    </w:p>
    <w:p>
      <w:pPr>
        <w:tabs>
          <w:tab w:val="left" w:pos="4666"/>
        </w:tabs>
        <w:spacing w:line="800" w:lineRule="exact"/>
        <w:ind w:firstLine="1807" w:firstLineChars="500"/>
        <w:rPr>
          <w:rFonts w:hint="eastAsia" w:ascii="仿宋" w:hAnsi="仿宋" w:eastAsia="仿宋" w:cs="仿宋"/>
          <w:b/>
          <w:bCs/>
          <w:sz w:val="36"/>
          <w:szCs w:val="36"/>
        </w:rPr>
      </w:pPr>
      <w:r>
        <w:rPr>
          <w:rFonts w:hint="eastAsia" w:ascii="仿宋" w:hAnsi="仿宋" w:eastAsia="仿宋" w:cs="仿宋"/>
          <w:b/>
          <w:bCs/>
          <w:sz w:val="36"/>
          <w:szCs w:val="36"/>
        </w:rPr>
        <w:t>专业带头人：</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w:t>
      </w:r>
      <w:r>
        <w:rPr>
          <w:rFonts w:hint="eastAsia" w:ascii="仿宋" w:hAnsi="仿宋" w:eastAsia="仿宋" w:cs="仿宋"/>
          <w:b/>
          <w:bCs/>
          <w:sz w:val="36"/>
          <w:szCs w:val="36"/>
          <w:u w:val="single"/>
        </w:rPr>
        <w:t xml:space="preserve">    </w:t>
      </w:r>
    </w:p>
    <w:p>
      <w:pPr>
        <w:tabs>
          <w:tab w:val="left" w:pos="4666"/>
        </w:tabs>
        <w:spacing w:line="800" w:lineRule="exact"/>
        <w:ind w:firstLine="1807" w:firstLineChars="500"/>
        <w:rPr>
          <w:rFonts w:ascii="仿宋" w:hAnsi="仿宋" w:eastAsia="仿宋" w:cs="仿宋"/>
          <w:b/>
          <w:bCs/>
          <w:sz w:val="36"/>
          <w:szCs w:val="36"/>
        </w:rPr>
      </w:pPr>
      <w:r>
        <w:rPr>
          <w:rFonts w:hint="eastAsia" w:ascii="仿宋" w:hAnsi="仿宋" w:eastAsia="仿宋" w:cs="仿宋"/>
          <w:b/>
          <w:bCs/>
          <w:sz w:val="36"/>
          <w:szCs w:val="36"/>
        </w:rPr>
        <w:t>编 写 人：</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  </w:t>
      </w:r>
      <w:r>
        <w:rPr>
          <w:rFonts w:hint="eastAsia" w:ascii="仿宋" w:hAnsi="仿宋" w:eastAsia="仿宋" w:cs="仿宋"/>
          <w:b/>
          <w:bCs/>
          <w:sz w:val="36"/>
          <w:szCs w:val="36"/>
          <w:u w:val="single"/>
        </w:rPr>
        <w:t xml:space="preserve">    </w:t>
      </w:r>
    </w:p>
    <w:p>
      <w:pPr>
        <w:tabs>
          <w:tab w:val="left" w:pos="4666"/>
        </w:tabs>
        <w:spacing w:line="800" w:lineRule="exact"/>
        <w:ind w:firstLine="1807" w:firstLineChars="500"/>
        <w:rPr>
          <w:rFonts w:hint="eastAsia" w:ascii="仿宋" w:hAnsi="仿宋" w:eastAsia="仿宋" w:cs="仿宋"/>
          <w:b/>
          <w:bCs/>
          <w:sz w:val="36"/>
          <w:szCs w:val="36"/>
        </w:rPr>
      </w:pPr>
      <w:r>
        <w:rPr>
          <w:rFonts w:hint="eastAsia" w:ascii="仿宋" w:hAnsi="仿宋" w:eastAsia="仿宋" w:cs="仿宋"/>
          <w:b/>
          <w:bCs/>
          <w:sz w:val="36"/>
          <w:szCs w:val="36"/>
        </w:rPr>
        <w:t>审 核 人：</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w:t>
      </w:r>
      <w:r>
        <w:rPr>
          <w:rFonts w:hint="eastAsia" w:ascii="仿宋" w:hAnsi="仿宋" w:eastAsia="仿宋" w:cs="仿宋"/>
          <w:b/>
          <w:bCs/>
          <w:sz w:val="36"/>
          <w:szCs w:val="36"/>
          <w:u w:val="single"/>
        </w:rPr>
        <w:t xml:space="preserve">     </w:t>
      </w:r>
    </w:p>
    <w:p>
      <w:pPr>
        <w:tabs>
          <w:tab w:val="left" w:pos="4666"/>
        </w:tabs>
        <w:spacing w:line="800" w:lineRule="exact"/>
        <w:ind w:firstLine="1807" w:firstLineChars="500"/>
        <w:rPr>
          <w:rFonts w:hint="eastAsia" w:ascii="仿宋GB-2312" w:hAnsi="仿宋GB-2312" w:eastAsia="仿宋GB-2312" w:cs="仿宋GB-2312"/>
          <w:b/>
          <w:bCs/>
          <w:sz w:val="36"/>
          <w:szCs w:val="36"/>
        </w:rPr>
      </w:pPr>
      <w:r>
        <w:rPr>
          <w:rFonts w:hint="eastAsia" w:ascii="仿宋" w:hAnsi="仿宋" w:eastAsia="仿宋" w:cs="仿宋"/>
          <w:b/>
          <w:bCs/>
          <w:sz w:val="36"/>
          <w:szCs w:val="36"/>
          <w:lang w:eastAsia="zh-CN"/>
        </w:rPr>
        <w:t>修</w:t>
      </w:r>
      <w:r>
        <w:rPr>
          <w:rFonts w:hint="eastAsia" w:ascii="仿宋" w:hAnsi="仿宋" w:eastAsia="仿宋" w:cs="仿宋"/>
          <w:b/>
          <w:bCs/>
          <w:sz w:val="36"/>
          <w:szCs w:val="36"/>
        </w:rPr>
        <w:t>定时间：</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w:t>
      </w:r>
      <w:r>
        <w:rPr>
          <w:rFonts w:hint="eastAsia" w:ascii="仿宋" w:hAnsi="仿宋" w:eastAsia="仿宋" w:cs="仿宋"/>
          <w:b/>
          <w:bCs/>
          <w:sz w:val="36"/>
          <w:szCs w:val="36"/>
          <w:u w:val="single"/>
        </w:rPr>
        <w:t>20</w:t>
      </w:r>
      <w:r>
        <w:rPr>
          <w:rFonts w:hint="eastAsia" w:ascii="仿宋" w:hAnsi="仿宋" w:eastAsia="仿宋" w:cs="仿宋"/>
          <w:b/>
          <w:bCs/>
          <w:sz w:val="36"/>
          <w:szCs w:val="36"/>
          <w:u w:val="single"/>
          <w:lang w:val="en-US" w:eastAsia="zh-CN"/>
        </w:rPr>
        <w:t>21</w:t>
      </w:r>
      <w:r>
        <w:rPr>
          <w:rFonts w:hint="eastAsia" w:ascii="仿宋" w:hAnsi="仿宋" w:eastAsia="仿宋" w:cs="仿宋"/>
          <w:b/>
          <w:bCs/>
          <w:sz w:val="36"/>
          <w:szCs w:val="36"/>
          <w:u w:val="single"/>
        </w:rPr>
        <w:t>年</w:t>
      </w:r>
      <w:r>
        <w:rPr>
          <w:rFonts w:hint="eastAsia" w:ascii="仿宋" w:hAnsi="仿宋" w:eastAsia="仿宋" w:cs="仿宋"/>
          <w:b/>
          <w:bCs/>
          <w:sz w:val="36"/>
          <w:szCs w:val="36"/>
          <w:u w:val="single"/>
          <w:lang w:val="en-US" w:eastAsia="zh-CN"/>
        </w:rPr>
        <w:t>6</w:t>
      </w:r>
      <w:r>
        <w:rPr>
          <w:rFonts w:hint="eastAsia" w:ascii="仿宋" w:hAnsi="仿宋" w:eastAsia="仿宋" w:cs="仿宋"/>
          <w:b/>
          <w:bCs/>
          <w:sz w:val="36"/>
          <w:szCs w:val="36"/>
          <w:u w:val="single"/>
        </w:rPr>
        <w:t xml:space="preserve">月  </w:t>
      </w:r>
    </w:p>
    <w:p>
      <w:pPr>
        <w:tabs>
          <w:tab w:val="left" w:pos="4666"/>
        </w:tabs>
        <w:spacing w:line="800" w:lineRule="exact"/>
        <w:ind w:firstLine="723" w:firstLineChars="200"/>
        <w:rPr>
          <w:rFonts w:hint="eastAsia" w:ascii="仿宋GB-2312" w:hAnsi="仿宋GB-2312" w:eastAsia="仿宋GB-2312" w:cs="仿宋GB-2312"/>
          <w:b/>
          <w:bCs/>
          <w:sz w:val="36"/>
          <w:szCs w:val="36"/>
        </w:rPr>
      </w:pPr>
    </w:p>
    <w:p>
      <w:pPr>
        <w:tabs>
          <w:tab w:val="left" w:pos="4666"/>
        </w:tabs>
        <w:spacing w:line="800" w:lineRule="exact"/>
        <w:ind w:firstLine="723" w:firstLineChars="200"/>
        <w:rPr>
          <w:rFonts w:hint="eastAsia" w:ascii="仿宋GB-2312" w:hAnsi="仿宋GB-2312" w:eastAsia="仿宋GB-2312" w:cs="仿宋GB-2312"/>
          <w:b/>
          <w:bCs/>
          <w:sz w:val="36"/>
          <w:szCs w:val="36"/>
        </w:rPr>
      </w:pPr>
    </w:p>
    <w:p>
      <w:pPr>
        <w:tabs>
          <w:tab w:val="left" w:pos="4666"/>
        </w:tabs>
        <w:spacing w:line="800" w:lineRule="exact"/>
        <w:ind w:firstLine="723" w:firstLineChars="200"/>
        <w:rPr>
          <w:rFonts w:hint="eastAsia" w:ascii="仿宋GB-2312" w:hAnsi="仿宋GB-2312" w:eastAsia="仿宋GB-2312" w:cs="仿宋GB-2312"/>
          <w:b/>
          <w:bCs/>
          <w:sz w:val="36"/>
          <w:szCs w:val="36"/>
        </w:rPr>
      </w:pPr>
    </w:p>
    <w:p>
      <w:pPr>
        <w:tabs>
          <w:tab w:val="left" w:pos="4666"/>
        </w:tabs>
        <w:spacing w:line="800" w:lineRule="exact"/>
        <w:rPr>
          <w:rFonts w:hint="eastAsia" w:ascii="仿宋GB-2312" w:hAnsi="仿宋GB-2312" w:eastAsia="仿宋GB-2312" w:cs="仿宋GB-2312"/>
          <w:sz w:val="36"/>
          <w:szCs w:val="36"/>
        </w:rPr>
      </w:pPr>
    </w:p>
    <w:p>
      <w:pPr>
        <w:jc w:val="center"/>
        <w:rPr>
          <w:rFonts w:hint="eastAsia" w:ascii="黑体" w:eastAsia="黑体"/>
          <w:sz w:val="32"/>
          <w:szCs w:val="32"/>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宋体" w:hAnsi="宋体" w:eastAsia="宋体" w:cs="宋体"/>
          <w:sz w:val="36"/>
          <w:szCs w:val="36"/>
        </w:rPr>
        <w:t>松桃苗族自治县中等职业学校</w:t>
      </w:r>
    </w:p>
    <w:sdt>
      <w:sdtPr>
        <w:rPr>
          <w:rFonts w:ascii="宋体" w:hAnsi="宋体" w:eastAsia="宋体" w:cstheme="minorBidi"/>
          <w:kern w:val="2"/>
          <w:sz w:val="21"/>
          <w:szCs w:val="24"/>
          <w:lang w:val="en-US" w:eastAsia="zh-CN" w:bidi="ar-SA"/>
        </w:rPr>
        <w:id w:val="147461492"/>
        <w15:color w:val="DBDBDB"/>
        <w:docPartObj>
          <w:docPartGallery w:val="Table of Contents"/>
          <w:docPartUnique/>
        </w:docPartObj>
      </w:sdtPr>
      <w:sdtEndPr>
        <w:rPr>
          <w:rFonts w:ascii="宋体" w:hAnsi="宋体" w:eastAsia="宋体" w:cstheme="minorBidi"/>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asciiTheme="minorHAnsi" w:hAnsiTheme="minorHAnsi" w:eastAsiaTheme="minorEastAsia" w:cstheme="minorBidi"/>
              <w:kern w:val="2"/>
              <w:sz w:val="21"/>
              <w:szCs w:val="24"/>
              <w:lang w:val="en-US" w:eastAsia="zh-CN" w:bidi="ar-SA"/>
            </w:rPr>
          </w:pPr>
          <w:r>
            <w:rPr>
              <w:rFonts w:ascii="宋体" w:hAnsi="宋体" w:eastAsia="宋体"/>
              <w:sz w:val="52"/>
              <w:szCs w:val="72"/>
            </w:rPr>
            <w:t>目录</w:t>
          </w:r>
          <w:r>
            <w:fldChar w:fldCharType="begin"/>
          </w:r>
          <w:r>
            <w:instrText xml:space="preserve">TOC \o "1-2" \h \u </w:instrText>
          </w:r>
          <w:r>
            <w:fldChar w:fldCharType="separate"/>
          </w:r>
        </w:p>
        <w:p>
          <w:pPr>
            <w:pStyle w:val="7"/>
            <w:tabs>
              <w:tab w:val="right" w:leader="dot" w:pos="8306"/>
            </w:tabs>
          </w:pPr>
          <w:r>
            <w:fldChar w:fldCharType="begin"/>
          </w:r>
          <w:r>
            <w:instrText xml:space="preserve"> HYPERLINK \l _Toc25881 </w:instrText>
          </w:r>
          <w:r>
            <w:fldChar w:fldCharType="separate"/>
          </w:r>
          <w:r>
            <w:rPr>
              <w:rFonts w:hint="eastAsia" w:ascii="黑体" w:eastAsia="黑体"/>
              <w:szCs w:val="32"/>
            </w:rPr>
            <w:t>一、专业名称及代码</w:t>
          </w:r>
          <w:r>
            <w:tab/>
          </w:r>
          <w:r>
            <w:fldChar w:fldCharType="begin"/>
          </w:r>
          <w:r>
            <w:instrText xml:space="preserve"> PAGEREF _Toc25881 </w:instrText>
          </w:r>
          <w:r>
            <w:fldChar w:fldCharType="separate"/>
          </w:r>
          <w:r>
            <w:t>1</w:t>
          </w:r>
          <w:r>
            <w:fldChar w:fldCharType="end"/>
          </w:r>
          <w:r>
            <w:fldChar w:fldCharType="end"/>
          </w:r>
        </w:p>
        <w:p>
          <w:pPr>
            <w:pStyle w:val="7"/>
            <w:tabs>
              <w:tab w:val="right" w:leader="dot" w:pos="8306"/>
            </w:tabs>
          </w:pPr>
          <w:r>
            <w:fldChar w:fldCharType="begin"/>
          </w:r>
          <w:r>
            <w:instrText xml:space="preserve"> HYPERLINK \l _Toc9249 </w:instrText>
          </w:r>
          <w:r>
            <w:fldChar w:fldCharType="separate"/>
          </w:r>
          <w:r>
            <w:rPr>
              <w:rFonts w:hint="eastAsia" w:ascii="黑体" w:eastAsia="黑体"/>
              <w:szCs w:val="32"/>
            </w:rPr>
            <w:t>二、入学要求</w:t>
          </w:r>
          <w:r>
            <w:tab/>
          </w:r>
          <w:r>
            <w:fldChar w:fldCharType="begin"/>
          </w:r>
          <w:r>
            <w:instrText xml:space="preserve"> PAGEREF _Toc9249 </w:instrText>
          </w:r>
          <w:r>
            <w:fldChar w:fldCharType="separate"/>
          </w:r>
          <w:r>
            <w:t>1</w:t>
          </w:r>
          <w:r>
            <w:fldChar w:fldCharType="end"/>
          </w:r>
          <w:r>
            <w:fldChar w:fldCharType="end"/>
          </w:r>
        </w:p>
        <w:p>
          <w:pPr>
            <w:pStyle w:val="7"/>
            <w:tabs>
              <w:tab w:val="right" w:leader="dot" w:pos="8306"/>
            </w:tabs>
          </w:pPr>
          <w:r>
            <w:fldChar w:fldCharType="begin"/>
          </w:r>
          <w:r>
            <w:instrText xml:space="preserve"> HYPERLINK \l _Toc13740 </w:instrText>
          </w:r>
          <w:r>
            <w:fldChar w:fldCharType="separate"/>
          </w:r>
          <w:r>
            <w:rPr>
              <w:rFonts w:hint="eastAsia" w:ascii="黑体" w:eastAsia="黑体"/>
              <w:szCs w:val="32"/>
            </w:rPr>
            <w:t>三、修业年限</w:t>
          </w:r>
          <w:r>
            <w:tab/>
          </w:r>
          <w:r>
            <w:fldChar w:fldCharType="begin"/>
          </w:r>
          <w:r>
            <w:instrText xml:space="preserve"> PAGEREF _Toc13740 </w:instrText>
          </w:r>
          <w:r>
            <w:fldChar w:fldCharType="separate"/>
          </w:r>
          <w:r>
            <w:t>1</w:t>
          </w:r>
          <w:r>
            <w:fldChar w:fldCharType="end"/>
          </w:r>
          <w:r>
            <w:fldChar w:fldCharType="end"/>
          </w:r>
        </w:p>
        <w:p>
          <w:pPr>
            <w:pStyle w:val="7"/>
            <w:tabs>
              <w:tab w:val="right" w:leader="dot" w:pos="8306"/>
            </w:tabs>
          </w:pPr>
          <w:r>
            <w:fldChar w:fldCharType="begin"/>
          </w:r>
          <w:r>
            <w:instrText xml:space="preserve"> HYPERLINK \l _Toc22373 </w:instrText>
          </w:r>
          <w:r>
            <w:fldChar w:fldCharType="separate"/>
          </w:r>
          <w:r>
            <w:rPr>
              <w:rFonts w:hint="eastAsia" w:ascii="黑体" w:eastAsia="黑体"/>
              <w:szCs w:val="32"/>
              <w:lang w:val="en-US" w:eastAsia="zh-CN"/>
            </w:rPr>
            <w:t>四、</w:t>
          </w:r>
          <w:r>
            <w:rPr>
              <w:rFonts w:hint="eastAsia" w:ascii="黑体" w:eastAsia="黑体"/>
              <w:szCs w:val="32"/>
            </w:rPr>
            <w:t>职业面向</w:t>
          </w:r>
          <w:r>
            <w:tab/>
          </w:r>
          <w:r>
            <w:fldChar w:fldCharType="begin"/>
          </w:r>
          <w:r>
            <w:instrText xml:space="preserve"> PAGEREF _Toc22373 </w:instrText>
          </w:r>
          <w:r>
            <w:fldChar w:fldCharType="separate"/>
          </w:r>
          <w:r>
            <w:t>1</w:t>
          </w:r>
          <w:r>
            <w:fldChar w:fldCharType="end"/>
          </w:r>
          <w:r>
            <w:fldChar w:fldCharType="end"/>
          </w:r>
        </w:p>
        <w:p>
          <w:pPr>
            <w:pStyle w:val="7"/>
            <w:tabs>
              <w:tab w:val="right" w:leader="dot" w:pos="8306"/>
            </w:tabs>
          </w:pPr>
          <w:r>
            <w:fldChar w:fldCharType="begin"/>
          </w:r>
          <w:r>
            <w:instrText xml:space="preserve"> HYPERLINK \l _Toc6939 </w:instrText>
          </w:r>
          <w:r>
            <w:fldChar w:fldCharType="separate"/>
          </w:r>
          <w:r>
            <w:rPr>
              <w:rFonts w:hint="eastAsia" w:ascii="黑体" w:eastAsia="黑体"/>
              <w:szCs w:val="32"/>
            </w:rPr>
            <w:t>五、培养目标与培养规格</w:t>
          </w:r>
          <w:r>
            <w:tab/>
          </w:r>
          <w:r>
            <w:fldChar w:fldCharType="begin"/>
          </w:r>
          <w:r>
            <w:instrText xml:space="preserve"> PAGEREF _Toc6939 </w:instrText>
          </w:r>
          <w:r>
            <w:fldChar w:fldCharType="separate"/>
          </w:r>
          <w:r>
            <w:t>2</w:t>
          </w:r>
          <w:r>
            <w:fldChar w:fldCharType="end"/>
          </w:r>
          <w:r>
            <w:fldChar w:fldCharType="end"/>
          </w:r>
        </w:p>
        <w:p>
          <w:pPr>
            <w:pStyle w:val="8"/>
            <w:tabs>
              <w:tab w:val="right" w:leader="dot" w:pos="8306"/>
            </w:tabs>
          </w:pPr>
          <w:r>
            <w:fldChar w:fldCharType="begin"/>
          </w:r>
          <w:r>
            <w:instrText xml:space="preserve"> HYPERLINK \l _Toc4487 </w:instrText>
          </w:r>
          <w:r>
            <w:fldChar w:fldCharType="separate"/>
          </w:r>
          <w:r>
            <w:rPr>
              <w:rFonts w:hint="eastAsia" w:ascii="楷体" w:hAnsi="楷体" w:eastAsia="楷体" w:cs="Times New Roman"/>
              <w:szCs w:val="32"/>
              <w:lang w:val="en-US" w:eastAsia="zh-CN"/>
            </w:rPr>
            <w:t>1.素质</w:t>
          </w:r>
          <w:r>
            <w:tab/>
          </w:r>
          <w:r>
            <w:fldChar w:fldCharType="begin"/>
          </w:r>
          <w:r>
            <w:instrText xml:space="preserve"> PAGEREF _Toc4487 </w:instrText>
          </w:r>
          <w:r>
            <w:fldChar w:fldCharType="separate"/>
          </w:r>
          <w:r>
            <w:t>2</w:t>
          </w:r>
          <w:r>
            <w:fldChar w:fldCharType="end"/>
          </w:r>
          <w:r>
            <w:fldChar w:fldCharType="end"/>
          </w:r>
        </w:p>
        <w:p>
          <w:pPr>
            <w:pStyle w:val="8"/>
            <w:tabs>
              <w:tab w:val="right" w:leader="dot" w:pos="8306"/>
            </w:tabs>
          </w:pPr>
          <w:r>
            <w:fldChar w:fldCharType="begin"/>
          </w:r>
          <w:r>
            <w:instrText xml:space="preserve"> HYPERLINK \l _Toc29966 </w:instrText>
          </w:r>
          <w:r>
            <w:fldChar w:fldCharType="separate"/>
          </w:r>
          <w:r>
            <w:rPr>
              <w:rFonts w:hint="eastAsia" w:ascii="楷体" w:hAnsi="楷体" w:eastAsia="楷体" w:cs="Times New Roman"/>
              <w:szCs w:val="32"/>
              <w:lang w:val="en-US" w:eastAsia="zh-CN"/>
            </w:rPr>
            <w:t>2.</w:t>
          </w:r>
          <w:r>
            <w:rPr>
              <w:rFonts w:hint="eastAsia" w:ascii="楷体" w:hAnsi="楷体" w:eastAsia="楷体" w:cs="Times New Roman"/>
              <w:szCs w:val="32"/>
            </w:rPr>
            <w:t>知识</w:t>
          </w:r>
          <w:r>
            <w:tab/>
          </w:r>
          <w:r>
            <w:fldChar w:fldCharType="begin"/>
          </w:r>
          <w:r>
            <w:instrText xml:space="preserve"> PAGEREF _Toc29966 </w:instrText>
          </w:r>
          <w:r>
            <w:fldChar w:fldCharType="separate"/>
          </w:r>
          <w:r>
            <w:t>2</w:t>
          </w:r>
          <w:r>
            <w:fldChar w:fldCharType="end"/>
          </w:r>
          <w:r>
            <w:fldChar w:fldCharType="end"/>
          </w:r>
        </w:p>
        <w:p>
          <w:pPr>
            <w:pStyle w:val="8"/>
            <w:tabs>
              <w:tab w:val="right" w:leader="dot" w:pos="8306"/>
            </w:tabs>
          </w:pPr>
          <w:r>
            <w:fldChar w:fldCharType="begin"/>
          </w:r>
          <w:r>
            <w:instrText xml:space="preserve"> HYPERLINK \l _Toc5061 </w:instrText>
          </w:r>
          <w:r>
            <w:fldChar w:fldCharType="separate"/>
          </w:r>
          <w:r>
            <w:rPr>
              <w:rFonts w:hint="eastAsia" w:ascii="楷体" w:hAnsi="楷体" w:eastAsia="楷体" w:cs="Times New Roman"/>
              <w:szCs w:val="32"/>
              <w:lang w:val="en-US" w:eastAsia="zh-CN"/>
            </w:rPr>
            <w:t>3.技能</w:t>
          </w:r>
          <w:r>
            <w:tab/>
          </w:r>
          <w:r>
            <w:fldChar w:fldCharType="begin"/>
          </w:r>
          <w:r>
            <w:instrText xml:space="preserve"> PAGEREF _Toc5061 </w:instrText>
          </w:r>
          <w:r>
            <w:fldChar w:fldCharType="separate"/>
          </w:r>
          <w:r>
            <w:t>3</w:t>
          </w:r>
          <w:r>
            <w:fldChar w:fldCharType="end"/>
          </w:r>
          <w:r>
            <w:fldChar w:fldCharType="end"/>
          </w:r>
        </w:p>
        <w:p>
          <w:pPr>
            <w:pStyle w:val="7"/>
            <w:tabs>
              <w:tab w:val="right" w:leader="dot" w:pos="8306"/>
            </w:tabs>
          </w:pPr>
          <w:r>
            <w:fldChar w:fldCharType="begin"/>
          </w:r>
          <w:r>
            <w:instrText xml:space="preserve"> HYPERLINK \l _Toc17067 </w:instrText>
          </w:r>
          <w:r>
            <w:fldChar w:fldCharType="separate"/>
          </w:r>
          <w:r>
            <w:rPr>
              <w:rFonts w:hint="eastAsia" w:ascii="黑体" w:eastAsia="黑体"/>
              <w:szCs w:val="32"/>
            </w:rPr>
            <w:t>六、课程设置及要求</w:t>
          </w:r>
          <w:r>
            <w:tab/>
          </w:r>
          <w:r>
            <w:fldChar w:fldCharType="begin"/>
          </w:r>
          <w:r>
            <w:instrText xml:space="preserve"> PAGEREF _Toc17067 </w:instrText>
          </w:r>
          <w:r>
            <w:fldChar w:fldCharType="separate"/>
          </w:r>
          <w:r>
            <w:t>4</w:t>
          </w:r>
          <w:r>
            <w:fldChar w:fldCharType="end"/>
          </w:r>
          <w:r>
            <w:fldChar w:fldCharType="end"/>
          </w:r>
        </w:p>
        <w:p>
          <w:pPr>
            <w:pStyle w:val="8"/>
            <w:tabs>
              <w:tab w:val="right" w:leader="dot" w:pos="8306"/>
            </w:tabs>
          </w:pPr>
          <w:r>
            <w:fldChar w:fldCharType="begin"/>
          </w:r>
          <w:r>
            <w:instrText xml:space="preserve"> HYPERLINK \l _Toc8205 </w:instrText>
          </w:r>
          <w:r>
            <w:fldChar w:fldCharType="separate"/>
          </w:r>
          <w:r>
            <w:rPr>
              <w:rFonts w:hint="eastAsia" w:ascii="楷体_GB2312" w:eastAsia="楷体_GB2312"/>
              <w:szCs w:val="32"/>
            </w:rPr>
            <w:t>（一）公共基础课程</w:t>
          </w:r>
          <w:r>
            <w:tab/>
          </w:r>
          <w:r>
            <w:fldChar w:fldCharType="begin"/>
          </w:r>
          <w:r>
            <w:instrText xml:space="preserve"> PAGEREF _Toc8205 </w:instrText>
          </w:r>
          <w:r>
            <w:fldChar w:fldCharType="separate"/>
          </w:r>
          <w:r>
            <w:t>5</w:t>
          </w:r>
          <w:r>
            <w:fldChar w:fldCharType="end"/>
          </w:r>
          <w:r>
            <w:fldChar w:fldCharType="end"/>
          </w:r>
        </w:p>
        <w:p>
          <w:pPr>
            <w:pStyle w:val="8"/>
            <w:tabs>
              <w:tab w:val="right" w:leader="dot" w:pos="8306"/>
            </w:tabs>
          </w:pPr>
          <w:r>
            <w:fldChar w:fldCharType="begin"/>
          </w:r>
          <w:r>
            <w:instrText xml:space="preserve"> HYPERLINK \l _Toc26649 </w:instrText>
          </w:r>
          <w:r>
            <w:fldChar w:fldCharType="separate"/>
          </w:r>
          <w:r>
            <w:rPr>
              <w:rFonts w:hint="eastAsia" w:ascii="楷体_GB2312" w:eastAsia="楷体_GB2312"/>
              <w:szCs w:val="32"/>
            </w:rPr>
            <w:t>（二）专业（技能）课程</w:t>
          </w:r>
          <w:r>
            <w:tab/>
          </w:r>
          <w:r>
            <w:fldChar w:fldCharType="begin"/>
          </w:r>
          <w:r>
            <w:instrText xml:space="preserve"> PAGEREF _Toc26649 </w:instrText>
          </w:r>
          <w:r>
            <w:fldChar w:fldCharType="separate"/>
          </w:r>
          <w:r>
            <w:t>7</w:t>
          </w:r>
          <w:r>
            <w:fldChar w:fldCharType="end"/>
          </w:r>
          <w:r>
            <w:fldChar w:fldCharType="end"/>
          </w:r>
        </w:p>
        <w:p>
          <w:pPr>
            <w:pStyle w:val="7"/>
            <w:tabs>
              <w:tab w:val="right" w:leader="dot" w:pos="8306"/>
            </w:tabs>
          </w:pPr>
          <w:r>
            <w:fldChar w:fldCharType="begin"/>
          </w:r>
          <w:r>
            <w:instrText xml:space="preserve"> HYPERLINK \l _Toc2549 </w:instrText>
          </w:r>
          <w:r>
            <w:fldChar w:fldCharType="separate"/>
          </w:r>
          <w:r>
            <w:rPr>
              <w:rFonts w:hint="eastAsia" w:ascii="黑体" w:eastAsia="黑体"/>
              <w:szCs w:val="32"/>
            </w:rPr>
            <w:t>七、 教学进程总体安排</w:t>
          </w:r>
          <w:r>
            <w:tab/>
          </w:r>
          <w:r>
            <w:fldChar w:fldCharType="begin"/>
          </w:r>
          <w:r>
            <w:instrText xml:space="preserve"> PAGEREF _Toc2549 </w:instrText>
          </w:r>
          <w:r>
            <w:fldChar w:fldCharType="separate"/>
          </w:r>
          <w:r>
            <w:t>12</w:t>
          </w:r>
          <w:r>
            <w:fldChar w:fldCharType="end"/>
          </w:r>
          <w:r>
            <w:fldChar w:fldCharType="end"/>
          </w:r>
        </w:p>
        <w:p>
          <w:pPr>
            <w:pStyle w:val="8"/>
            <w:tabs>
              <w:tab w:val="right" w:leader="dot" w:pos="8306"/>
            </w:tabs>
          </w:pPr>
          <w:r>
            <w:fldChar w:fldCharType="begin"/>
          </w:r>
          <w:r>
            <w:instrText xml:space="preserve"> HYPERLINK \l _Toc25301 </w:instrText>
          </w:r>
          <w:r>
            <w:fldChar w:fldCharType="separate"/>
          </w:r>
          <w:r>
            <w:rPr>
              <w:rFonts w:hint="eastAsia"/>
              <w:bCs/>
              <w:lang w:val="en-US" w:eastAsia="zh-CN"/>
            </w:rPr>
            <w:t>（一） 总体要求</w:t>
          </w:r>
          <w:r>
            <w:tab/>
          </w:r>
          <w:r>
            <w:fldChar w:fldCharType="begin"/>
          </w:r>
          <w:r>
            <w:instrText xml:space="preserve"> PAGEREF _Toc25301 </w:instrText>
          </w:r>
          <w:r>
            <w:fldChar w:fldCharType="separate"/>
          </w:r>
          <w:r>
            <w:t>12</w:t>
          </w:r>
          <w:r>
            <w:fldChar w:fldCharType="end"/>
          </w:r>
          <w:r>
            <w:fldChar w:fldCharType="end"/>
          </w:r>
        </w:p>
        <w:p>
          <w:pPr>
            <w:pStyle w:val="8"/>
            <w:tabs>
              <w:tab w:val="right" w:leader="dot" w:pos="8306"/>
            </w:tabs>
          </w:pPr>
          <w:r>
            <w:fldChar w:fldCharType="begin"/>
          </w:r>
          <w:r>
            <w:instrText xml:space="preserve"> HYPERLINK \l _Toc21436 </w:instrText>
          </w:r>
          <w:r>
            <w:fldChar w:fldCharType="separate"/>
          </w:r>
          <w:r>
            <w:rPr>
              <w:rFonts w:hint="eastAsia"/>
              <w:bCs/>
              <w:lang w:val="en-US" w:eastAsia="zh-CN"/>
            </w:rPr>
            <w:t>（二） 教学进度安排</w:t>
          </w:r>
          <w:r>
            <w:tab/>
          </w:r>
          <w:r>
            <w:fldChar w:fldCharType="begin"/>
          </w:r>
          <w:r>
            <w:instrText xml:space="preserve"> PAGEREF _Toc21436 </w:instrText>
          </w:r>
          <w:r>
            <w:fldChar w:fldCharType="separate"/>
          </w:r>
          <w:r>
            <w:t>12</w:t>
          </w:r>
          <w:r>
            <w:fldChar w:fldCharType="end"/>
          </w:r>
          <w:r>
            <w:fldChar w:fldCharType="end"/>
          </w:r>
        </w:p>
        <w:p>
          <w:pPr>
            <w:pStyle w:val="7"/>
            <w:tabs>
              <w:tab w:val="right" w:leader="dot" w:pos="8306"/>
            </w:tabs>
          </w:pPr>
          <w:r>
            <w:fldChar w:fldCharType="begin"/>
          </w:r>
          <w:r>
            <w:instrText xml:space="preserve"> HYPERLINK \l _Toc15204 </w:instrText>
          </w:r>
          <w:r>
            <w:fldChar w:fldCharType="separate"/>
          </w:r>
          <w:r>
            <w:rPr>
              <w:rFonts w:hint="eastAsia" w:ascii="黑体" w:eastAsia="黑体"/>
              <w:szCs w:val="32"/>
            </w:rPr>
            <w:t>八、实施保障</w:t>
          </w:r>
          <w:r>
            <w:tab/>
          </w:r>
          <w:r>
            <w:fldChar w:fldCharType="begin"/>
          </w:r>
          <w:r>
            <w:instrText xml:space="preserve"> PAGEREF _Toc15204 </w:instrText>
          </w:r>
          <w:r>
            <w:fldChar w:fldCharType="separate"/>
          </w:r>
          <w:r>
            <w:t>18</w:t>
          </w:r>
          <w:r>
            <w:fldChar w:fldCharType="end"/>
          </w:r>
          <w:r>
            <w:fldChar w:fldCharType="end"/>
          </w:r>
        </w:p>
        <w:p>
          <w:pPr>
            <w:pStyle w:val="8"/>
            <w:tabs>
              <w:tab w:val="right" w:leader="dot" w:pos="8306"/>
            </w:tabs>
          </w:pPr>
          <w:r>
            <w:fldChar w:fldCharType="begin"/>
          </w:r>
          <w:r>
            <w:instrText xml:space="preserve"> HYPERLINK \l _Toc3719 </w:instrText>
          </w:r>
          <w:r>
            <w:fldChar w:fldCharType="separate"/>
          </w:r>
          <w:r>
            <w:rPr>
              <w:rFonts w:hint="eastAsia" w:ascii="楷体_GB2312" w:eastAsia="楷体_GB2312"/>
              <w:szCs w:val="32"/>
            </w:rPr>
            <w:t>（一）师资队伍</w:t>
          </w:r>
          <w:r>
            <w:tab/>
          </w:r>
          <w:r>
            <w:fldChar w:fldCharType="begin"/>
          </w:r>
          <w:r>
            <w:instrText xml:space="preserve"> PAGEREF _Toc3719 </w:instrText>
          </w:r>
          <w:r>
            <w:fldChar w:fldCharType="separate"/>
          </w:r>
          <w:r>
            <w:t>18</w:t>
          </w:r>
          <w:r>
            <w:fldChar w:fldCharType="end"/>
          </w:r>
          <w:r>
            <w:fldChar w:fldCharType="end"/>
          </w:r>
        </w:p>
        <w:p>
          <w:pPr>
            <w:pStyle w:val="8"/>
            <w:tabs>
              <w:tab w:val="right" w:leader="dot" w:pos="8306"/>
            </w:tabs>
          </w:pPr>
          <w:r>
            <w:fldChar w:fldCharType="begin"/>
          </w:r>
          <w:r>
            <w:instrText xml:space="preserve"> HYPERLINK \l _Toc2878 </w:instrText>
          </w:r>
          <w:r>
            <w:fldChar w:fldCharType="separate"/>
          </w:r>
          <w:r>
            <w:rPr>
              <w:rFonts w:hint="eastAsia" w:ascii="楷体_GB2312" w:eastAsia="楷体_GB2312"/>
              <w:szCs w:val="32"/>
            </w:rPr>
            <w:t>（二）教学设施</w:t>
          </w:r>
          <w:r>
            <w:tab/>
          </w:r>
          <w:r>
            <w:fldChar w:fldCharType="begin"/>
          </w:r>
          <w:r>
            <w:instrText xml:space="preserve"> PAGEREF _Toc2878 </w:instrText>
          </w:r>
          <w:r>
            <w:fldChar w:fldCharType="separate"/>
          </w:r>
          <w:r>
            <w:t>19</w:t>
          </w:r>
          <w:r>
            <w:fldChar w:fldCharType="end"/>
          </w:r>
          <w:r>
            <w:fldChar w:fldCharType="end"/>
          </w:r>
        </w:p>
        <w:p>
          <w:pPr>
            <w:pStyle w:val="8"/>
            <w:tabs>
              <w:tab w:val="right" w:leader="dot" w:pos="8306"/>
            </w:tabs>
          </w:pPr>
          <w:r>
            <w:fldChar w:fldCharType="begin"/>
          </w:r>
          <w:r>
            <w:instrText xml:space="preserve"> HYPERLINK \l _Toc13670 </w:instrText>
          </w:r>
          <w:r>
            <w:fldChar w:fldCharType="separate"/>
          </w:r>
          <w:r>
            <w:rPr>
              <w:rFonts w:hint="eastAsia" w:ascii="楷体_GB2312" w:eastAsia="楷体_GB2312"/>
              <w:szCs w:val="32"/>
            </w:rPr>
            <w:t>（三）教学资源</w:t>
          </w:r>
          <w:r>
            <w:tab/>
          </w:r>
          <w:r>
            <w:fldChar w:fldCharType="begin"/>
          </w:r>
          <w:r>
            <w:instrText xml:space="preserve"> PAGEREF _Toc13670 </w:instrText>
          </w:r>
          <w:r>
            <w:fldChar w:fldCharType="separate"/>
          </w:r>
          <w:r>
            <w:t>27</w:t>
          </w:r>
          <w:r>
            <w:fldChar w:fldCharType="end"/>
          </w:r>
          <w:r>
            <w:fldChar w:fldCharType="end"/>
          </w:r>
        </w:p>
        <w:p>
          <w:pPr>
            <w:pStyle w:val="8"/>
            <w:tabs>
              <w:tab w:val="right" w:leader="dot" w:pos="8306"/>
            </w:tabs>
          </w:pPr>
          <w:r>
            <w:fldChar w:fldCharType="begin"/>
          </w:r>
          <w:r>
            <w:instrText xml:space="preserve"> HYPERLINK \l _Toc3573 </w:instrText>
          </w:r>
          <w:r>
            <w:fldChar w:fldCharType="separate"/>
          </w:r>
          <w:r>
            <w:rPr>
              <w:rFonts w:hint="eastAsia" w:ascii="楷体_GB2312" w:eastAsia="楷体_GB2312"/>
              <w:szCs w:val="32"/>
            </w:rPr>
            <w:t>（四）教学方法</w:t>
          </w:r>
          <w:r>
            <w:tab/>
          </w:r>
          <w:r>
            <w:fldChar w:fldCharType="begin"/>
          </w:r>
          <w:r>
            <w:instrText xml:space="preserve"> PAGEREF _Toc3573 </w:instrText>
          </w:r>
          <w:r>
            <w:fldChar w:fldCharType="separate"/>
          </w:r>
          <w:r>
            <w:t>31</w:t>
          </w:r>
          <w:r>
            <w:fldChar w:fldCharType="end"/>
          </w:r>
          <w:r>
            <w:fldChar w:fldCharType="end"/>
          </w:r>
        </w:p>
        <w:p>
          <w:pPr>
            <w:pStyle w:val="8"/>
            <w:tabs>
              <w:tab w:val="right" w:leader="dot" w:pos="8306"/>
            </w:tabs>
          </w:pPr>
          <w:r>
            <w:fldChar w:fldCharType="begin"/>
          </w:r>
          <w:r>
            <w:instrText xml:space="preserve"> HYPERLINK \l _Toc5985 </w:instrText>
          </w:r>
          <w:r>
            <w:fldChar w:fldCharType="separate"/>
          </w:r>
          <w:r>
            <w:rPr>
              <w:rFonts w:hint="eastAsia" w:ascii="楷体_GB2312" w:eastAsia="楷体_GB2312"/>
              <w:szCs w:val="32"/>
            </w:rPr>
            <w:t>（五）学习评价</w:t>
          </w:r>
          <w:r>
            <w:tab/>
          </w:r>
          <w:r>
            <w:fldChar w:fldCharType="begin"/>
          </w:r>
          <w:r>
            <w:instrText xml:space="preserve"> PAGEREF _Toc5985 </w:instrText>
          </w:r>
          <w:r>
            <w:fldChar w:fldCharType="separate"/>
          </w:r>
          <w:r>
            <w:t>32</w:t>
          </w:r>
          <w:r>
            <w:fldChar w:fldCharType="end"/>
          </w:r>
          <w:r>
            <w:fldChar w:fldCharType="end"/>
          </w:r>
        </w:p>
        <w:p>
          <w:pPr>
            <w:pStyle w:val="8"/>
            <w:tabs>
              <w:tab w:val="right" w:leader="dot" w:pos="8306"/>
            </w:tabs>
          </w:pPr>
          <w:r>
            <w:fldChar w:fldCharType="begin"/>
          </w:r>
          <w:r>
            <w:instrText xml:space="preserve"> HYPERLINK \l _Toc14663 </w:instrText>
          </w:r>
          <w:r>
            <w:fldChar w:fldCharType="separate"/>
          </w:r>
          <w:r>
            <w:rPr>
              <w:rFonts w:hint="eastAsia" w:ascii="楷体_GB2312" w:eastAsia="楷体_GB2312"/>
              <w:szCs w:val="32"/>
            </w:rPr>
            <w:t>（六）质量管理</w:t>
          </w:r>
          <w:r>
            <w:tab/>
          </w:r>
          <w:r>
            <w:fldChar w:fldCharType="begin"/>
          </w:r>
          <w:r>
            <w:instrText xml:space="preserve"> PAGEREF _Toc14663 </w:instrText>
          </w:r>
          <w:r>
            <w:fldChar w:fldCharType="separate"/>
          </w:r>
          <w:r>
            <w:t>33</w:t>
          </w:r>
          <w:r>
            <w:fldChar w:fldCharType="end"/>
          </w:r>
          <w:r>
            <w:fldChar w:fldCharType="end"/>
          </w:r>
        </w:p>
        <w:p>
          <w:pPr>
            <w:pStyle w:val="7"/>
            <w:tabs>
              <w:tab w:val="right" w:leader="dot" w:pos="8306"/>
            </w:tabs>
          </w:pPr>
          <w:r>
            <w:fldChar w:fldCharType="begin"/>
          </w:r>
          <w:r>
            <w:instrText xml:space="preserve"> HYPERLINK \l _Toc18447 </w:instrText>
          </w:r>
          <w:r>
            <w:fldChar w:fldCharType="separate"/>
          </w:r>
          <w:r>
            <w:rPr>
              <w:rFonts w:hint="eastAsia" w:ascii="黑体" w:eastAsia="黑体"/>
              <w:szCs w:val="32"/>
            </w:rPr>
            <w:t>九、毕业要求</w:t>
          </w:r>
          <w:r>
            <w:tab/>
          </w:r>
          <w:r>
            <w:fldChar w:fldCharType="begin"/>
          </w:r>
          <w:r>
            <w:instrText xml:space="preserve"> PAGEREF _Toc18447 </w:instrText>
          </w:r>
          <w:r>
            <w:fldChar w:fldCharType="separate"/>
          </w:r>
          <w:r>
            <w:t>3</w:t>
          </w:r>
          <w:r>
            <w:rPr>
              <w:rFonts w:hint="eastAsia"/>
              <w:lang w:val="en-US" w:eastAsia="zh-CN"/>
            </w:rPr>
            <w:t>3</w:t>
          </w:r>
          <w:r>
            <w:fldChar w:fldCharType="end"/>
          </w:r>
          <w:r>
            <w:fldChar w:fldCharType="end"/>
          </w:r>
        </w:p>
        <w:p>
          <w:pPr>
            <w:pStyle w:val="7"/>
            <w:tabs>
              <w:tab w:val="right" w:leader="dot" w:pos="8306"/>
            </w:tabs>
          </w:pPr>
        </w:p>
        <w:p>
          <w:pPr>
            <w:pStyle w:val="7"/>
            <w:tabs>
              <w:tab w:val="right" w:leader="dot" w:pos="8306"/>
            </w:tabs>
          </w:pPr>
        </w:p>
        <w:p>
          <w:pPr>
            <w:spacing w:before="0" w:beforeLines="0" w:after="0" w:afterLines="0" w:line="240" w:lineRule="auto"/>
            <w:ind w:left="0" w:leftChars="0" w:right="0" w:rightChars="0" w:firstLine="0" w:firstLineChars="0"/>
            <w:jc w:val="center"/>
          </w:pPr>
          <w:r>
            <w:fldChar w:fldCharType="end"/>
          </w:r>
        </w:p>
      </w:sdtContent>
    </w:sdt>
    <w:p>
      <w:pPr>
        <w:spacing w:line="600" w:lineRule="exact"/>
        <w:jc w:val="center"/>
        <w:outlineLvl w:val="0"/>
        <w:rPr>
          <w:rFonts w:hint="eastAsia" w:asciiTheme="majorEastAsia" w:hAnsiTheme="majorEastAsia" w:eastAsiaTheme="majorEastAsia" w:cstheme="majorEastAsia"/>
          <w:b/>
          <w:bCs/>
          <w:kern w:val="1"/>
          <w:sz w:val="44"/>
          <w:szCs w:val="44"/>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bookmarkStart w:id="0" w:name="_Toc5588_WPSOffice_Level1"/>
      <w:bookmarkStart w:id="1" w:name="_Toc25446"/>
      <w:bookmarkStart w:id="2" w:name="_Toc12753_WPSOffice_Level1"/>
      <w:bookmarkStart w:id="3" w:name="_Toc1011"/>
      <w:bookmarkStart w:id="4" w:name="_Toc8980"/>
      <w:bookmarkStart w:id="5" w:name="_Toc16892_WPSOffice_Level1"/>
      <w:bookmarkStart w:id="6" w:name="_Toc35933908"/>
      <w:bookmarkStart w:id="7" w:name="_Toc20114"/>
      <w:bookmarkStart w:id="8" w:name="_Toc9878_WPSOffice_Level1"/>
      <w:bookmarkStart w:id="9" w:name="_Toc15154"/>
    </w:p>
    <w:p>
      <w:pPr>
        <w:spacing w:line="600" w:lineRule="exact"/>
        <w:jc w:val="center"/>
        <w:outlineLvl w:val="0"/>
        <w:rPr>
          <w:rFonts w:ascii="仿宋-GB2312" w:hAnsi="仿宋-GB2312" w:eastAsia="仿宋-GB2312" w:cs="仿宋-GB2312"/>
          <w:b/>
          <w:bCs/>
          <w:color w:val="000000"/>
          <w:sz w:val="30"/>
          <w:szCs w:val="30"/>
        </w:rPr>
      </w:pPr>
      <w:bookmarkStart w:id="10" w:name="_Toc29577"/>
      <w:r>
        <w:rPr>
          <w:rFonts w:hint="eastAsia" w:asciiTheme="majorEastAsia" w:hAnsiTheme="majorEastAsia" w:eastAsiaTheme="majorEastAsia" w:cstheme="majorEastAsia"/>
          <w:b/>
          <w:bCs/>
          <w:kern w:val="1"/>
          <w:sz w:val="44"/>
          <w:szCs w:val="44"/>
        </w:rPr>
        <w:t>松桃苗族自治县中等职业学校</w:t>
      </w:r>
      <w:bookmarkEnd w:id="0"/>
      <w:bookmarkEnd w:id="1"/>
      <w:bookmarkEnd w:id="2"/>
      <w:bookmarkEnd w:id="3"/>
      <w:bookmarkEnd w:id="4"/>
      <w:bookmarkEnd w:id="5"/>
      <w:bookmarkEnd w:id="6"/>
      <w:bookmarkEnd w:id="7"/>
      <w:bookmarkEnd w:id="8"/>
      <w:bookmarkEnd w:id="9"/>
      <w:bookmarkStart w:id="11" w:name="_Toc3283_WPSOffice_Level1"/>
      <w:bookmarkStart w:id="12" w:name="_Toc27121_WPSOffice_Level1"/>
      <w:bookmarkStart w:id="13" w:name="_Toc30948_WPSOffice_Level1"/>
      <w:r>
        <w:rPr>
          <w:rFonts w:hint="eastAsia" w:asciiTheme="majorEastAsia" w:hAnsiTheme="majorEastAsia" w:eastAsiaTheme="majorEastAsia" w:cstheme="majorEastAsia"/>
          <w:b/>
          <w:bCs/>
          <w:kern w:val="1"/>
          <w:sz w:val="44"/>
          <w:szCs w:val="44"/>
          <w:lang w:eastAsia="zh-CN"/>
        </w:rPr>
        <w:t>汽车运用与维修</w:t>
      </w:r>
      <w:bookmarkStart w:id="14" w:name="_Toc35933909"/>
      <w:bookmarkStart w:id="15" w:name="_Toc28593_WPSOffice_Level1"/>
      <w:bookmarkStart w:id="16" w:name="_Toc5823"/>
      <w:bookmarkStart w:id="17" w:name="_Toc24870"/>
      <w:bookmarkStart w:id="18" w:name="_Toc28060"/>
      <w:bookmarkStart w:id="19" w:name="_Toc16764"/>
      <w:bookmarkStart w:id="20" w:name="_Toc1685"/>
      <w:r>
        <w:rPr>
          <w:rFonts w:hint="eastAsia" w:asciiTheme="majorEastAsia" w:hAnsiTheme="majorEastAsia" w:eastAsiaTheme="majorEastAsia" w:cstheme="majorEastAsia"/>
          <w:b/>
          <w:bCs/>
          <w:kern w:val="1"/>
          <w:sz w:val="44"/>
          <w:szCs w:val="44"/>
        </w:rPr>
        <w:t>专业人才培养方案</w:t>
      </w:r>
      <w:bookmarkEnd w:id="10"/>
      <w:bookmarkEnd w:id="11"/>
      <w:bookmarkEnd w:id="12"/>
      <w:bookmarkEnd w:id="13"/>
      <w:bookmarkEnd w:id="14"/>
      <w:bookmarkEnd w:id="15"/>
      <w:bookmarkEnd w:id="16"/>
      <w:bookmarkEnd w:id="17"/>
      <w:bookmarkEnd w:id="18"/>
      <w:bookmarkEnd w:id="19"/>
      <w:bookmarkEnd w:id="20"/>
    </w:p>
    <w:p>
      <w:pPr>
        <w:spacing w:line="620" w:lineRule="exact"/>
        <w:ind w:firstLine="640" w:firstLineChars="200"/>
        <w:outlineLvl w:val="0"/>
        <w:rPr>
          <w:rFonts w:hint="eastAsia" w:ascii="黑体" w:eastAsia="黑体"/>
          <w:sz w:val="32"/>
          <w:szCs w:val="32"/>
        </w:rPr>
      </w:pPr>
    </w:p>
    <w:p>
      <w:pPr>
        <w:spacing w:line="620" w:lineRule="exact"/>
        <w:outlineLvl w:val="0"/>
        <w:rPr>
          <w:rFonts w:hint="eastAsia" w:ascii="黑体" w:eastAsia="黑体"/>
          <w:sz w:val="32"/>
          <w:szCs w:val="32"/>
        </w:rPr>
      </w:pPr>
      <w:bookmarkStart w:id="21" w:name="_Toc25881"/>
      <w:r>
        <w:rPr>
          <w:rFonts w:hint="eastAsia" w:ascii="黑体" w:eastAsia="黑体"/>
          <w:sz w:val="32"/>
          <w:szCs w:val="32"/>
        </w:rPr>
        <w:t>一、专业名称及代码</w:t>
      </w:r>
      <w:bookmarkEnd w:id="21"/>
    </w:p>
    <w:p>
      <w:pPr>
        <w:numPr>
          <w:ilvl w:val="0"/>
          <w:numId w:val="0"/>
        </w:numPr>
        <w:spacing w:line="480" w:lineRule="exact"/>
        <w:ind w:firstLine="560" w:firstLineChars="200"/>
        <w:outlineLvl w:val="1"/>
        <w:rPr>
          <w:rFonts w:hint="eastAsia" w:ascii="仿宋" w:hAnsi="仿宋" w:eastAsia="仿宋" w:cs="仿宋"/>
          <w:sz w:val="28"/>
          <w:szCs w:val="28"/>
        </w:rPr>
      </w:pPr>
      <w:bookmarkStart w:id="22" w:name="_Toc25414957"/>
      <w:bookmarkStart w:id="23" w:name="_Toc14371"/>
      <w:bookmarkStart w:id="24" w:name="_Toc750"/>
      <w:bookmarkStart w:id="25" w:name="_Toc25429523"/>
      <w:bookmarkStart w:id="26" w:name="_Toc25429707"/>
      <w:bookmarkStart w:id="27" w:name="_Toc2889"/>
      <w:bookmarkStart w:id="28" w:name="_Toc25427749"/>
      <w:bookmarkStart w:id="29" w:name="_Toc25433735"/>
      <w:bookmarkStart w:id="30" w:name="_Toc25433661"/>
      <w:bookmarkStart w:id="31" w:name="_Toc25427672"/>
      <w:bookmarkStart w:id="32" w:name="_Toc28077"/>
      <w:bookmarkStart w:id="33" w:name="_Toc25430764"/>
      <w:r>
        <w:rPr>
          <w:rFonts w:hint="eastAsia" w:ascii="仿宋" w:hAnsi="仿宋" w:eastAsia="仿宋" w:cs="仿宋"/>
          <w:sz w:val="28"/>
          <w:szCs w:val="28"/>
        </w:rPr>
        <w:t>专业名称：汽车运用与维修</w:t>
      </w:r>
      <w:bookmarkEnd w:id="22"/>
      <w:bookmarkEnd w:id="23"/>
      <w:bookmarkEnd w:id="24"/>
      <w:bookmarkEnd w:id="25"/>
      <w:bookmarkEnd w:id="26"/>
      <w:bookmarkEnd w:id="27"/>
      <w:bookmarkEnd w:id="28"/>
      <w:bookmarkEnd w:id="29"/>
      <w:bookmarkEnd w:id="30"/>
      <w:bookmarkEnd w:id="31"/>
      <w:bookmarkEnd w:id="32"/>
      <w:bookmarkEnd w:id="33"/>
      <w:r>
        <w:rPr>
          <w:rFonts w:hint="eastAsia" w:ascii="仿宋" w:hAnsi="仿宋" w:eastAsia="仿宋" w:cs="仿宋"/>
          <w:sz w:val="28"/>
          <w:szCs w:val="28"/>
        </w:rPr>
        <w:t xml:space="preserve">  </w:t>
      </w:r>
    </w:p>
    <w:p>
      <w:pPr>
        <w:numPr>
          <w:ilvl w:val="0"/>
          <w:numId w:val="0"/>
        </w:numPr>
        <w:spacing w:line="480" w:lineRule="exact"/>
        <w:ind w:firstLine="560" w:firstLineChars="200"/>
        <w:outlineLvl w:val="1"/>
        <w:rPr>
          <w:rFonts w:hint="eastAsia" w:ascii="仿宋_GB2312" w:eastAsia="仿宋"/>
          <w:sz w:val="32"/>
          <w:szCs w:val="32"/>
          <w:lang w:eastAsia="zh-CN"/>
        </w:rPr>
      </w:pPr>
      <w:bookmarkStart w:id="34" w:name="_Toc4150"/>
      <w:bookmarkStart w:id="35" w:name="_Toc13012"/>
      <w:bookmarkStart w:id="36" w:name="_Toc25427673"/>
      <w:bookmarkStart w:id="37" w:name="_Toc25433736"/>
      <w:bookmarkStart w:id="38" w:name="_Toc2787"/>
      <w:bookmarkStart w:id="39" w:name="_Toc25429708"/>
      <w:bookmarkStart w:id="40" w:name="_Toc25427750"/>
      <w:bookmarkStart w:id="41" w:name="_Toc25414958"/>
      <w:bookmarkStart w:id="42" w:name="_Toc25429524"/>
      <w:bookmarkStart w:id="43" w:name="_Toc25430765"/>
      <w:bookmarkStart w:id="44" w:name="_Toc25433662"/>
      <w:bookmarkStart w:id="45" w:name="_Toc28534"/>
      <w:r>
        <w:rPr>
          <w:rFonts w:hint="eastAsia" w:ascii="仿宋" w:hAnsi="仿宋" w:eastAsia="仿宋" w:cs="仿宋"/>
          <w:sz w:val="28"/>
          <w:szCs w:val="28"/>
        </w:rPr>
        <w:t>专业代码：</w:t>
      </w:r>
      <w:bookmarkEnd w:id="34"/>
      <w:bookmarkEnd w:id="35"/>
      <w:bookmarkEnd w:id="36"/>
      <w:bookmarkEnd w:id="37"/>
      <w:bookmarkEnd w:id="38"/>
      <w:bookmarkEnd w:id="39"/>
      <w:bookmarkEnd w:id="40"/>
      <w:bookmarkEnd w:id="41"/>
      <w:bookmarkEnd w:id="42"/>
      <w:bookmarkEnd w:id="43"/>
      <w:bookmarkEnd w:id="44"/>
      <w:bookmarkEnd w:id="45"/>
      <w:r>
        <w:rPr>
          <w:rFonts w:hint="eastAsia" w:ascii="仿宋" w:hAnsi="仿宋" w:eastAsia="仿宋" w:cs="仿宋"/>
          <w:sz w:val="28"/>
          <w:szCs w:val="28"/>
          <w:lang w:eastAsia="zh-CN"/>
        </w:rPr>
        <w:t>700206</w:t>
      </w:r>
    </w:p>
    <w:p>
      <w:pPr>
        <w:spacing w:line="620" w:lineRule="exact"/>
        <w:outlineLvl w:val="0"/>
        <w:rPr>
          <w:rFonts w:hint="eastAsia" w:ascii="黑体" w:eastAsia="黑体"/>
          <w:sz w:val="32"/>
          <w:szCs w:val="32"/>
        </w:rPr>
      </w:pPr>
      <w:bookmarkStart w:id="46" w:name="_Toc9249"/>
      <w:r>
        <w:rPr>
          <w:rFonts w:hint="eastAsia" w:ascii="黑体" w:eastAsia="黑体"/>
          <w:sz w:val="32"/>
          <w:szCs w:val="32"/>
        </w:rPr>
        <w:t>二、入学要求</w:t>
      </w:r>
      <w:bookmarkEnd w:id="46"/>
    </w:p>
    <w:p>
      <w:pPr>
        <w:spacing w:line="620" w:lineRule="exact"/>
        <w:ind w:firstLine="560" w:firstLineChars="200"/>
        <w:rPr>
          <w:rFonts w:hint="eastAsia" w:ascii="仿宋_GB2312" w:eastAsia="仿宋_GB2312"/>
          <w:sz w:val="32"/>
          <w:szCs w:val="32"/>
        </w:rPr>
      </w:pPr>
      <w:r>
        <w:rPr>
          <w:rFonts w:hint="eastAsia" w:ascii="仿宋" w:hAnsi="仿宋" w:eastAsia="仿宋" w:cs="仿宋"/>
          <w:color w:val="auto"/>
          <w:sz w:val="28"/>
          <w:szCs w:val="28"/>
          <w:lang w:eastAsia="zh-CN"/>
        </w:rPr>
        <w:t>初中毕业生或具有同等学力者</w:t>
      </w:r>
    </w:p>
    <w:p>
      <w:pPr>
        <w:spacing w:line="620" w:lineRule="exact"/>
        <w:outlineLvl w:val="0"/>
        <w:rPr>
          <w:rFonts w:hint="eastAsia" w:ascii="黑体" w:eastAsia="黑体"/>
          <w:sz w:val="32"/>
          <w:szCs w:val="32"/>
        </w:rPr>
      </w:pPr>
      <w:bookmarkStart w:id="47" w:name="_Toc13740"/>
      <w:r>
        <w:rPr>
          <w:rFonts w:hint="eastAsia" w:ascii="黑体" w:eastAsia="黑体"/>
          <w:sz w:val="32"/>
          <w:szCs w:val="32"/>
        </w:rPr>
        <w:t>三、修业年限</w:t>
      </w:r>
      <w:bookmarkEnd w:id="47"/>
    </w:p>
    <w:p>
      <w:pPr>
        <w:spacing w:line="62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三年</w:t>
      </w:r>
    </w:p>
    <w:p>
      <w:pPr>
        <w:numPr>
          <w:ilvl w:val="0"/>
          <w:numId w:val="0"/>
        </w:numPr>
        <w:spacing w:line="620" w:lineRule="exact"/>
        <w:jc w:val="left"/>
        <w:outlineLvl w:val="0"/>
        <w:rPr>
          <w:rFonts w:hint="eastAsia" w:ascii="黑体" w:eastAsia="黑体"/>
          <w:sz w:val="32"/>
          <w:szCs w:val="32"/>
        </w:rPr>
      </w:pPr>
      <w:bookmarkStart w:id="48" w:name="_Toc22373"/>
      <w:r>
        <w:rPr>
          <w:rFonts w:hint="eastAsia" w:ascii="黑体" w:eastAsia="黑体"/>
          <w:sz w:val="32"/>
          <w:szCs w:val="32"/>
          <w:lang w:val="en-US" w:eastAsia="zh-CN"/>
        </w:rPr>
        <w:t>四、</w:t>
      </w:r>
      <w:r>
        <w:rPr>
          <w:rFonts w:hint="eastAsia" w:ascii="黑体" w:eastAsia="黑体"/>
          <w:sz w:val="32"/>
          <w:szCs w:val="32"/>
        </w:rPr>
        <w:t>职业面向</w:t>
      </w:r>
      <w:bookmarkEnd w:id="48"/>
    </w:p>
    <w:p>
      <w:pPr>
        <w:numPr>
          <w:ilvl w:val="0"/>
          <w:numId w:val="0"/>
        </w:numPr>
        <w:spacing w:line="620" w:lineRule="exact"/>
        <w:jc w:val="center"/>
        <w:rPr>
          <w:rFonts w:hint="eastAsia" w:ascii="仿宋" w:hAnsi="仿宋" w:eastAsia="仿宋" w:cs="仿宋"/>
          <w:color w:val="auto"/>
          <w:kern w:val="1"/>
          <w:sz w:val="24"/>
          <w:szCs w:val="24"/>
        </w:rPr>
      </w:pPr>
      <w:r>
        <w:rPr>
          <w:rFonts w:hint="eastAsia" w:ascii="仿宋" w:hAnsi="仿宋" w:eastAsia="仿宋" w:cs="仿宋"/>
          <w:color w:val="auto"/>
          <w:kern w:val="1"/>
          <w:sz w:val="24"/>
          <w:szCs w:val="24"/>
        </w:rPr>
        <w:t>表</w:t>
      </w:r>
      <w:r>
        <w:rPr>
          <w:rFonts w:hint="eastAsia" w:ascii="仿宋" w:hAnsi="仿宋" w:eastAsia="仿宋" w:cs="仿宋"/>
          <w:color w:val="auto"/>
          <w:kern w:val="1"/>
          <w:sz w:val="24"/>
          <w:szCs w:val="24"/>
          <w:lang w:val="en-US" w:eastAsia="zh-CN"/>
        </w:rPr>
        <w:t>1:</w:t>
      </w:r>
      <w:r>
        <w:rPr>
          <w:rFonts w:hint="eastAsia" w:ascii="仿宋" w:hAnsi="仿宋" w:eastAsia="仿宋" w:cs="仿宋"/>
          <w:color w:val="auto"/>
          <w:sz w:val="24"/>
          <w:szCs w:val="24"/>
          <w:lang w:eastAsia="zh-CN"/>
        </w:rPr>
        <w:t>汽车运用与维修</w:t>
      </w:r>
      <w:r>
        <w:rPr>
          <w:rFonts w:hint="eastAsia" w:ascii="仿宋" w:hAnsi="仿宋" w:eastAsia="仿宋" w:cs="仿宋"/>
          <w:color w:val="auto"/>
          <w:kern w:val="1"/>
          <w:sz w:val="24"/>
          <w:szCs w:val="24"/>
        </w:rPr>
        <w:t>专业</w:t>
      </w:r>
      <w:r>
        <w:rPr>
          <w:rFonts w:hint="eastAsia" w:ascii="仿宋" w:hAnsi="仿宋" w:eastAsia="仿宋" w:cs="仿宋"/>
          <w:color w:val="auto"/>
          <w:kern w:val="1"/>
          <w:sz w:val="24"/>
          <w:szCs w:val="24"/>
          <w:lang w:eastAsia="zh-CN"/>
        </w:rPr>
        <w:t>职业面向</w:t>
      </w:r>
    </w:p>
    <w:tbl>
      <w:tblPr>
        <w:tblStyle w:val="10"/>
        <w:tblpPr w:leftFromText="180" w:rightFromText="180" w:vertAnchor="page" w:horzAnchor="page" w:tblpX="1921" w:tblpY="8642"/>
        <w:tblOverlap w:val="never"/>
        <w:tblW w:w="9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3"/>
        <w:gridCol w:w="1318"/>
        <w:gridCol w:w="1766"/>
        <w:gridCol w:w="1525"/>
        <w:gridCol w:w="1398"/>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363" w:type="dxa"/>
            <w:noWrap w:val="0"/>
            <w:vAlign w:val="center"/>
          </w:tcPr>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所属专业大类（代码）</w:t>
            </w:r>
          </w:p>
        </w:tc>
        <w:tc>
          <w:tcPr>
            <w:tcW w:w="1318" w:type="dxa"/>
            <w:noWrap w:val="0"/>
            <w:vAlign w:val="center"/>
          </w:tcPr>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所属专业类</w:t>
            </w:r>
          </w:p>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（代码）</w:t>
            </w:r>
          </w:p>
        </w:tc>
        <w:tc>
          <w:tcPr>
            <w:tcW w:w="1766" w:type="dxa"/>
            <w:noWrap w:val="0"/>
            <w:vAlign w:val="center"/>
          </w:tcPr>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对应行业</w:t>
            </w:r>
          </w:p>
        </w:tc>
        <w:tc>
          <w:tcPr>
            <w:tcW w:w="1525" w:type="dxa"/>
            <w:noWrap w:val="0"/>
            <w:vAlign w:val="center"/>
          </w:tcPr>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主要职业类别</w:t>
            </w:r>
          </w:p>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（代码）</w:t>
            </w:r>
          </w:p>
        </w:tc>
        <w:tc>
          <w:tcPr>
            <w:tcW w:w="1398" w:type="dxa"/>
            <w:noWrap w:val="0"/>
            <w:vAlign w:val="center"/>
          </w:tcPr>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主要岗位类别</w:t>
            </w:r>
          </w:p>
        </w:tc>
        <w:tc>
          <w:tcPr>
            <w:tcW w:w="1695" w:type="dxa"/>
            <w:noWrap w:val="0"/>
            <w:vAlign w:val="center"/>
          </w:tcPr>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63" w:type="dxa"/>
            <w:noWrap w:val="0"/>
            <w:vAlign w:val="center"/>
          </w:tcPr>
          <w:p>
            <w:pPr>
              <w:spacing w:line="24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交通运输类（70）</w:t>
            </w:r>
          </w:p>
        </w:tc>
        <w:tc>
          <w:tcPr>
            <w:tcW w:w="1318" w:type="dxa"/>
            <w:noWrap w:val="0"/>
            <w:vAlign w:val="center"/>
          </w:tcPr>
          <w:p>
            <w:pPr>
              <w:spacing w:line="240" w:lineRule="auto"/>
              <w:ind w:left="220" w:hanging="210" w:hangingChars="100"/>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 xml:space="preserve">汽车运用与维修 </w:t>
            </w:r>
          </w:p>
          <w:p>
            <w:pPr>
              <w:spacing w:line="240" w:lineRule="auto"/>
              <w:ind w:left="440" w:hanging="420" w:hangingChars="200"/>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 xml:space="preserve">（700206）     </w:t>
            </w:r>
          </w:p>
        </w:tc>
        <w:tc>
          <w:tcPr>
            <w:tcW w:w="1766" w:type="dxa"/>
            <w:noWrap w:val="0"/>
            <w:vAlign w:val="center"/>
          </w:tcPr>
          <w:p>
            <w:pPr>
              <w:spacing w:line="24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汽车修理与维护</w:t>
            </w:r>
          </w:p>
          <w:p>
            <w:pPr>
              <w:spacing w:line="240" w:lineRule="auto"/>
              <w:ind w:left="428" w:leftChars="104" w:hanging="210" w:hangingChars="100"/>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（0-811）</w:t>
            </w:r>
          </w:p>
        </w:tc>
        <w:tc>
          <w:tcPr>
            <w:tcW w:w="1525" w:type="dxa"/>
            <w:noWrap w:val="0"/>
            <w:vAlign w:val="center"/>
          </w:tcPr>
          <w:p>
            <w:pPr>
              <w:spacing w:line="240" w:lineRule="auto"/>
              <w:ind w:left="428" w:leftChars="104" w:hanging="210" w:hangingChars="100"/>
              <w:jc w:val="both"/>
              <w:rPr>
                <w:rFonts w:hint="eastAsia" w:ascii="仿宋" w:hAnsi="仿宋" w:eastAsia="仿宋" w:cs="仿宋"/>
                <w:color w:val="000000" w:themeColor="text1"/>
                <w:sz w:val="21"/>
                <w:szCs w:val="21"/>
                <w:lang w:val="en-US" w:eastAsia="zh-CN"/>
                <w14:textFill>
                  <w14:solidFill>
                    <w14:schemeClr w14:val="tx1"/>
                  </w14:solidFill>
                </w14:textFill>
              </w:rPr>
            </w:pPr>
          </w:p>
          <w:p>
            <w:pPr>
              <w:spacing w:line="240" w:lineRule="auto"/>
              <w:ind w:left="428" w:leftChars="104" w:hanging="210" w:hangingChars="100"/>
              <w:jc w:val="both"/>
              <w:rPr>
                <w:rFonts w:hint="eastAsia" w:ascii="仿宋" w:hAnsi="仿宋" w:eastAsia="仿宋" w:cs="仿宋"/>
                <w:color w:val="000000" w:themeColor="text1"/>
                <w:sz w:val="21"/>
                <w:szCs w:val="21"/>
                <w:lang w:val="en-US" w:eastAsia="zh-CN"/>
                <w14:textFill>
                  <w14:solidFill>
                    <w14:schemeClr w14:val="tx1"/>
                  </w14:solidFill>
                </w14:textFill>
              </w:rPr>
            </w:pPr>
          </w:p>
          <w:p>
            <w:pPr>
              <w:spacing w:line="240" w:lineRule="auto"/>
              <w:jc w:val="both"/>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sz w:val="21"/>
                <w:szCs w:val="21"/>
                <w:lang w:bidi="ar"/>
              </w:rPr>
              <w:t>汽车摩托车修理技术服务人员（4-12-01</w:t>
            </w:r>
            <w:r>
              <w:rPr>
                <w:rFonts w:hint="eastAsia" w:ascii="仿宋" w:hAnsi="仿宋" w:eastAsia="仿宋" w:cs="仿宋"/>
                <w:sz w:val="21"/>
                <w:szCs w:val="21"/>
                <w:lang w:eastAsia="zh-CN" w:bidi="ar"/>
              </w:rPr>
              <w:t>）</w:t>
            </w:r>
          </w:p>
          <w:p>
            <w:pPr>
              <w:spacing w:line="240" w:lineRule="auto"/>
              <w:ind w:left="440" w:hanging="420" w:hangingChars="200"/>
              <w:jc w:val="left"/>
              <w:rPr>
                <w:rFonts w:hint="eastAsia" w:ascii="仿宋" w:hAnsi="仿宋" w:eastAsia="仿宋" w:cs="仿宋"/>
                <w:color w:val="000000" w:themeColor="text1"/>
                <w:sz w:val="21"/>
                <w:szCs w:val="21"/>
                <w:lang w:val="en-US" w:eastAsia="zh-CN"/>
                <w14:textFill>
                  <w14:solidFill>
                    <w14:schemeClr w14:val="tx1"/>
                  </w14:solidFill>
                </w14:textFill>
              </w:rPr>
            </w:pPr>
          </w:p>
        </w:tc>
        <w:tc>
          <w:tcPr>
            <w:tcW w:w="1398" w:type="dxa"/>
            <w:noWrap w:val="0"/>
            <w:vAlign w:val="top"/>
          </w:tcPr>
          <w:p>
            <w:pPr>
              <w:spacing w:line="24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p>
          <w:p>
            <w:pPr>
              <w:spacing w:line="240" w:lineRule="auto"/>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sz w:val="21"/>
                <w:szCs w:val="21"/>
                <w:lang w:bidi="ar"/>
              </w:rPr>
              <w:t>汽车修</w:t>
            </w:r>
            <w:r>
              <w:rPr>
                <w:rFonts w:hint="eastAsia" w:ascii="仿宋" w:hAnsi="仿宋" w:eastAsia="仿宋" w:cs="仿宋"/>
                <w:sz w:val="21"/>
                <w:szCs w:val="21"/>
                <w:lang w:eastAsia="zh-CN" w:bidi="ar"/>
              </w:rPr>
              <w:t>理</w:t>
            </w:r>
            <w:r>
              <w:rPr>
                <w:rFonts w:hint="eastAsia" w:ascii="仿宋" w:hAnsi="仿宋" w:eastAsia="仿宋" w:cs="仿宋"/>
                <w:sz w:val="21"/>
                <w:szCs w:val="21"/>
                <w:lang w:bidi="ar"/>
              </w:rPr>
              <w:t>工、汽车维修接待、汽车检测、汽车零配件管理</w:t>
            </w:r>
          </w:p>
        </w:tc>
        <w:tc>
          <w:tcPr>
            <w:tcW w:w="1695" w:type="dxa"/>
            <w:noWrap w:val="0"/>
            <w:vAlign w:val="top"/>
          </w:tcPr>
          <w:p>
            <w:pPr>
              <w:spacing w:line="240" w:lineRule="auto"/>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p>
          <w:p>
            <w:pPr>
              <w:spacing w:line="240" w:lineRule="auto"/>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p>
          <w:p>
            <w:pPr>
              <w:spacing w:before="93" w:beforeLines="30" w:after="93" w:afterLines="30" w:line="340" w:lineRule="exact"/>
              <w:jc w:val="center"/>
              <w:rPr>
                <w:rFonts w:hint="eastAsia" w:ascii="仿宋" w:hAnsi="仿宋" w:eastAsia="仿宋" w:cs="仿宋"/>
                <w:sz w:val="21"/>
                <w:szCs w:val="21"/>
                <w:lang w:bidi="ar"/>
              </w:rPr>
            </w:pPr>
            <w:r>
              <w:rPr>
                <w:rFonts w:hint="eastAsia" w:ascii="仿宋" w:hAnsi="仿宋" w:eastAsia="仿宋" w:cs="仿宋"/>
                <w:sz w:val="21"/>
                <w:szCs w:val="21"/>
                <w:lang w:bidi="ar"/>
              </w:rPr>
              <w:t>汽车维修工中级</w:t>
            </w:r>
          </w:p>
          <w:p>
            <w:pPr>
              <w:spacing w:line="240" w:lineRule="auto"/>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sz w:val="21"/>
                <w:szCs w:val="21"/>
                <w:lang w:bidi="ar"/>
              </w:rPr>
              <w:t>汽车专业领域职业技能等级证书（1+X）</w:t>
            </w:r>
          </w:p>
          <w:p>
            <w:pPr>
              <w:spacing w:line="240" w:lineRule="auto"/>
              <w:ind w:left="420" w:leftChars="0" w:hanging="420" w:hangingChars="200"/>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p>
          <w:p>
            <w:pPr>
              <w:spacing w:line="240" w:lineRule="auto"/>
              <w:ind w:left="420" w:leftChars="0" w:hanging="420" w:hangingChars="200"/>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p>
        </w:tc>
      </w:tr>
    </w:tbl>
    <w:p>
      <w:pPr>
        <w:spacing w:line="620" w:lineRule="exact"/>
        <w:outlineLvl w:val="0"/>
        <w:rPr>
          <w:rFonts w:hint="eastAsia" w:ascii="黑体" w:eastAsia="黑体"/>
          <w:sz w:val="32"/>
          <w:szCs w:val="32"/>
        </w:rPr>
      </w:pPr>
      <w:bookmarkStart w:id="49" w:name="_Toc6939"/>
    </w:p>
    <w:p>
      <w:pPr>
        <w:spacing w:line="620" w:lineRule="exact"/>
        <w:outlineLvl w:val="0"/>
        <w:rPr>
          <w:rFonts w:hint="eastAsia" w:ascii="黑体" w:eastAsia="黑体"/>
          <w:sz w:val="32"/>
          <w:szCs w:val="32"/>
        </w:rPr>
      </w:pPr>
      <w:r>
        <w:rPr>
          <w:rFonts w:hint="eastAsia" w:ascii="黑体" w:eastAsia="黑体"/>
          <w:sz w:val="32"/>
          <w:szCs w:val="32"/>
        </w:rPr>
        <w:t>五、培养目标与培养规格</w:t>
      </w:r>
      <w:bookmarkEnd w:id="49"/>
    </w:p>
    <w:p>
      <w:pPr>
        <w:spacing w:line="620" w:lineRule="exact"/>
        <w:ind w:firstLine="643" w:firstLineChars="200"/>
        <w:rPr>
          <w:rFonts w:hint="eastAsia" w:ascii="楷体_GB2312" w:eastAsia="楷体_GB2312"/>
          <w:b/>
          <w:sz w:val="32"/>
          <w:szCs w:val="32"/>
        </w:rPr>
      </w:pPr>
      <w:r>
        <w:rPr>
          <w:rFonts w:hint="eastAsia" w:ascii="楷体_GB2312" w:eastAsia="楷体_GB2312"/>
          <w:b/>
          <w:sz w:val="32"/>
          <w:szCs w:val="32"/>
        </w:rPr>
        <w:t>（一）培养目标</w:t>
      </w:r>
    </w:p>
    <w:p>
      <w:pPr>
        <w:widowControl/>
        <w:spacing w:line="480" w:lineRule="exact"/>
        <w:jc w:val="left"/>
        <w:rPr>
          <w:rFonts w:hint="eastAsia" w:ascii="仿宋" w:hAnsi="仿宋" w:eastAsia="仿宋" w:cs="仿宋"/>
          <w:b/>
          <w:sz w:val="28"/>
          <w:szCs w:val="28"/>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仿宋" w:hAnsi="仿宋" w:eastAsia="仿宋" w:cs="仿宋"/>
          <w:kern w:val="0"/>
          <w:sz w:val="28"/>
          <w:szCs w:val="28"/>
          <w:lang w:val="en-US" w:eastAsia="zh-CN" w:bidi="ar"/>
        </w:rPr>
        <w:t xml:space="preserve"> </w:t>
      </w:r>
      <w:r>
        <w:rPr>
          <w:rFonts w:hint="eastAsia" w:ascii="仿宋" w:hAnsi="仿宋" w:eastAsia="仿宋" w:cs="仿宋"/>
          <w:sz w:val="28"/>
          <w:szCs w:val="28"/>
          <w:lang w:bidi="ar"/>
        </w:rPr>
        <w:t>本专业坚持</w:t>
      </w:r>
      <w:r>
        <w:rPr>
          <w:rFonts w:hint="eastAsia" w:ascii="仿宋" w:hAnsi="仿宋" w:eastAsia="仿宋" w:cs="仿宋"/>
          <w:sz w:val="28"/>
          <w:szCs w:val="28"/>
        </w:rPr>
        <w:t>立德树人，</w:t>
      </w:r>
      <w:r>
        <w:rPr>
          <w:rFonts w:hint="eastAsia" w:ascii="仿宋" w:hAnsi="仿宋" w:eastAsia="仿宋" w:cs="仿宋"/>
          <w:sz w:val="28"/>
          <w:szCs w:val="28"/>
          <w:lang w:bidi="ar"/>
        </w:rPr>
        <w:t>主要面向汽车维修等行业企业，培养</w:t>
      </w:r>
      <w:r>
        <w:rPr>
          <w:rFonts w:hint="eastAsia" w:ascii="仿宋" w:hAnsi="仿宋" w:eastAsia="仿宋" w:cs="仿宋"/>
          <w:sz w:val="28"/>
          <w:szCs w:val="28"/>
        </w:rPr>
        <w:t>德、智、体、美、劳全面发展，掌握扎实的科学文化基础和汽车电气、汽车结构等知识，具备汽车维修工具选择与使用、维修信息获取与运用、汽车定期维护、汽车发动机及控制系统检修、汽车底盘及控制系统检修、汽车车身电气设备检修等能力，具有工匠精神和信息素养，能够从事汽车使用、维护、检测、修理等工作的技术技能人才。</w:t>
      </w:r>
    </w:p>
    <w:p>
      <w:pPr>
        <w:spacing w:line="620" w:lineRule="exact"/>
        <w:ind w:firstLine="643" w:firstLineChars="200"/>
        <w:rPr>
          <w:rFonts w:hint="eastAsia" w:ascii="楷体_GB2312" w:eastAsia="楷体_GB2312"/>
          <w:b/>
          <w:sz w:val="32"/>
          <w:szCs w:val="32"/>
          <w:lang w:eastAsia="zh-CN"/>
        </w:rPr>
      </w:pPr>
      <w:r>
        <w:rPr>
          <w:rFonts w:hint="eastAsia" w:ascii="楷体_GB2312" w:eastAsia="楷体_GB2312"/>
          <w:b/>
          <w:sz w:val="32"/>
          <w:szCs w:val="32"/>
        </w:rPr>
        <w:t>（二）培养规格</w:t>
      </w:r>
    </w:p>
    <w:p>
      <w:pPr>
        <w:spacing w:line="480" w:lineRule="exact"/>
        <w:ind w:firstLine="560" w:firstLineChars="200"/>
        <w:rPr>
          <w:rFonts w:hint="eastAsia" w:ascii="仿宋" w:hAnsi="仿宋" w:eastAsia="仿宋" w:cs="仿宋"/>
          <w:kern w:val="1"/>
          <w:sz w:val="28"/>
          <w:szCs w:val="28"/>
        </w:rPr>
      </w:pPr>
      <w:r>
        <w:rPr>
          <w:rFonts w:hint="eastAsia" w:ascii="仿宋" w:hAnsi="仿宋" w:eastAsia="仿宋" w:cs="仿宋"/>
          <w:kern w:val="1"/>
          <w:sz w:val="28"/>
          <w:szCs w:val="28"/>
        </w:rPr>
        <w:t>根据汽车运用与维修专业典型职业面向，职业能力和调研分析，本专业应具有以下素</w:t>
      </w:r>
      <w:r>
        <w:rPr>
          <w:rFonts w:hint="eastAsia" w:ascii="仿宋" w:hAnsi="仿宋" w:eastAsia="仿宋" w:cs="仿宋"/>
          <w:kern w:val="1"/>
          <w:sz w:val="28"/>
          <w:szCs w:val="28"/>
          <w:lang w:eastAsia="zh-CN"/>
        </w:rPr>
        <w:t>质</w:t>
      </w:r>
      <w:r>
        <w:rPr>
          <w:rFonts w:hint="eastAsia" w:ascii="仿宋" w:hAnsi="仿宋" w:eastAsia="仿宋" w:cs="仿宋"/>
          <w:kern w:val="1"/>
          <w:sz w:val="28"/>
          <w:szCs w:val="28"/>
        </w:rPr>
        <w:t>、知识和技能：</w:t>
      </w:r>
    </w:p>
    <w:p>
      <w:pPr>
        <w:numPr>
          <w:ilvl w:val="0"/>
          <w:numId w:val="0"/>
        </w:numPr>
        <w:ind w:left="420" w:leftChars="0" w:firstLine="321" w:firstLineChars="100"/>
        <w:outlineLvl w:val="1"/>
        <w:rPr>
          <w:rFonts w:hint="eastAsia" w:ascii="楷体" w:hAnsi="楷体" w:eastAsia="楷体" w:cs="楷体"/>
          <w:b/>
          <w:bCs/>
          <w:kern w:val="1"/>
          <w:sz w:val="32"/>
          <w:szCs w:val="32"/>
          <w:lang w:val="en-US" w:eastAsia="zh-CN"/>
        </w:rPr>
      </w:pPr>
      <w:bookmarkStart w:id="50" w:name="_Toc7721"/>
      <w:bookmarkStart w:id="51" w:name="_Toc25429717"/>
      <w:bookmarkStart w:id="52" w:name="_Toc28726"/>
      <w:bookmarkStart w:id="53" w:name="_Toc13560"/>
      <w:bookmarkStart w:id="54" w:name="_Toc25433745"/>
      <w:bookmarkStart w:id="55" w:name="_Toc25430774"/>
      <w:bookmarkStart w:id="56" w:name="_Toc25414968"/>
      <w:bookmarkStart w:id="57" w:name="_Toc25429533"/>
      <w:bookmarkStart w:id="58" w:name="_Toc4487"/>
      <w:r>
        <w:rPr>
          <w:rFonts w:hint="eastAsia" w:ascii="楷体" w:hAnsi="楷体" w:eastAsia="楷体" w:cs="Times New Roman"/>
          <w:b/>
          <w:sz w:val="32"/>
          <w:szCs w:val="32"/>
          <w:lang w:val="en-US" w:eastAsia="zh-CN"/>
        </w:rPr>
        <w:t>1.</w:t>
      </w:r>
      <w:r>
        <w:rPr>
          <w:rFonts w:hint="eastAsia" w:ascii="楷体" w:hAnsi="楷体" w:eastAsia="楷体" w:cs="Times New Roman"/>
          <w:b/>
          <w:sz w:val="32"/>
          <w:szCs w:val="32"/>
        </w:rPr>
        <w:t>素</w:t>
      </w:r>
      <w:bookmarkEnd w:id="50"/>
      <w:bookmarkEnd w:id="51"/>
      <w:bookmarkEnd w:id="52"/>
      <w:bookmarkEnd w:id="53"/>
      <w:bookmarkEnd w:id="54"/>
      <w:bookmarkEnd w:id="55"/>
      <w:bookmarkEnd w:id="56"/>
      <w:bookmarkEnd w:id="57"/>
      <w:bookmarkEnd w:id="58"/>
      <w:r>
        <w:rPr>
          <w:rFonts w:hint="eastAsia" w:ascii="楷体" w:hAnsi="楷体" w:eastAsia="楷体" w:cs="Times New Roman"/>
          <w:b/>
          <w:sz w:val="32"/>
          <w:szCs w:val="32"/>
          <w:lang w:val="en-US" w:eastAsia="zh-CN"/>
        </w:rPr>
        <w:t>质</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具有良好的职业道德，能自觉遵守行业法规、规范和企业规章制度。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具有良好的人际交往与团队协作能力。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吃苦耐劳，工作责任感强，工作执行力强。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具备较强的获取信息、分析判断和学习新知识的能力。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具有积极的职业竞争和服务的意识。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b/>
          <w:bCs/>
          <w:sz w:val="32"/>
          <w:szCs w:val="32"/>
        </w:rPr>
      </w:pPr>
      <w:r>
        <w:rPr>
          <w:rFonts w:hint="eastAsia" w:ascii="仿宋" w:hAnsi="仿宋" w:eastAsia="仿宋" w:cs="仿宋"/>
          <w:sz w:val="28"/>
          <w:szCs w:val="28"/>
          <w:lang w:val="en-US" w:eastAsia="zh-CN"/>
        </w:rPr>
        <w:t xml:space="preserve">   （6） </w:t>
      </w:r>
      <w:r>
        <w:rPr>
          <w:rFonts w:hint="eastAsia" w:ascii="仿宋" w:hAnsi="仿宋" w:eastAsia="仿宋" w:cs="仿宋"/>
          <w:sz w:val="28"/>
          <w:szCs w:val="28"/>
        </w:rPr>
        <w:t>具有较强的安全文明生产与节能环保的意识</w:t>
      </w:r>
      <w:r>
        <w:rPr>
          <w:rFonts w:hint="eastAsia" w:ascii="仿宋" w:hAnsi="仿宋" w:eastAsia="仿宋" w:cs="仿宋"/>
          <w:sz w:val="28"/>
          <w:szCs w:val="28"/>
          <w:lang w:eastAsia="zh-CN"/>
        </w:rPr>
        <w:t>。</w:t>
      </w:r>
    </w:p>
    <w:p>
      <w:pPr>
        <w:numPr>
          <w:ilvl w:val="0"/>
          <w:numId w:val="0"/>
        </w:numPr>
        <w:ind w:left="420" w:leftChars="0" w:firstLine="321" w:firstLineChars="100"/>
        <w:outlineLvl w:val="1"/>
        <w:rPr>
          <w:rFonts w:hint="eastAsia" w:ascii="仿宋" w:hAnsi="仿宋" w:eastAsia="仿宋" w:cs="仿宋"/>
          <w:sz w:val="28"/>
          <w:szCs w:val="28"/>
        </w:rPr>
      </w:pPr>
      <w:bookmarkStart w:id="59" w:name="_Toc25429718"/>
      <w:bookmarkStart w:id="60" w:name="_Toc27365"/>
      <w:bookmarkStart w:id="61" w:name="_Toc25429534"/>
      <w:bookmarkStart w:id="62" w:name="_Toc29966"/>
      <w:bookmarkStart w:id="63" w:name="_Toc25414969"/>
      <w:bookmarkStart w:id="64" w:name="_Toc4304"/>
      <w:bookmarkStart w:id="65" w:name="_Toc8213"/>
      <w:bookmarkStart w:id="66" w:name="_Toc25430775"/>
      <w:bookmarkStart w:id="67" w:name="_Toc25433746"/>
      <w:bookmarkStart w:id="68" w:name="_Toc7443"/>
      <w:r>
        <w:rPr>
          <w:rFonts w:hint="eastAsia" w:ascii="楷体" w:hAnsi="楷体" w:eastAsia="楷体" w:cs="Times New Roman"/>
          <w:b/>
          <w:sz w:val="32"/>
          <w:szCs w:val="32"/>
          <w:lang w:val="en-US" w:eastAsia="zh-CN"/>
        </w:rPr>
        <w:t>2.</w:t>
      </w:r>
      <w:r>
        <w:rPr>
          <w:rFonts w:hint="eastAsia" w:ascii="楷体" w:hAnsi="楷体" w:eastAsia="楷体" w:cs="Times New Roman"/>
          <w:b/>
          <w:sz w:val="32"/>
          <w:szCs w:val="32"/>
        </w:rPr>
        <w:t>知识</w:t>
      </w:r>
      <w:bookmarkEnd w:id="59"/>
      <w:bookmarkEnd w:id="60"/>
      <w:bookmarkEnd w:id="61"/>
      <w:bookmarkEnd w:id="62"/>
      <w:bookmarkEnd w:id="63"/>
      <w:bookmarkEnd w:id="64"/>
      <w:bookmarkEnd w:id="65"/>
      <w:bookmarkEnd w:id="66"/>
      <w:bookmarkEnd w:id="67"/>
      <w:bookmarkEnd w:id="68"/>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掌握计算机基础知识和操作技能。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掌握汽车发动机、底盘、车身</w:t>
      </w:r>
      <w:r>
        <w:rPr>
          <w:rFonts w:hint="eastAsia" w:ascii="仿宋" w:hAnsi="仿宋" w:eastAsia="仿宋" w:cs="仿宋"/>
          <w:sz w:val="28"/>
          <w:szCs w:val="28"/>
          <w:lang w:eastAsia="zh-CN"/>
        </w:rPr>
        <w:t>、</w:t>
      </w:r>
      <w:r>
        <w:rPr>
          <w:rFonts w:hint="eastAsia" w:ascii="仿宋" w:hAnsi="仿宋" w:eastAsia="仿宋" w:cs="仿宋"/>
          <w:sz w:val="28"/>
          <w:szCs w:val="28"/>
        </w:rPr>
        <w:t xml:space="preserve">电器、空调的结构和工作原理。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掌握汽车机械基础知识，并能进行简单的钳工作业。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掌握汽车电工电子基础知识，能识读汽车电路图，并能进行简单电器零部件的检测。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能够阅读简单的汽车维修设备使用说明书和汽车维修技术资料。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能进行汽车维护作业</w:t>
      </w:r>
      <w:r>
        <w:rPr>
          <w:rFonts w:hint="eastAsia" w:ascii="仿宋" w:hAnsi="仿宋" w:eastAsia="仿宋" w:cs="仿宋"/>
          <w:sz w:val="28"/>
          <w:szCs w:val="28"/>
          <w:lang w:eastAsia="zh-CN"/>
        </w:rPr>
        <w:t>，</w:t>
      </w:r>
      <w:r>
        <w:rPr>
          <w:rFonts w:hint="eastAsia" w:ascii="仿宋" w:hAnsi="仿宋" w:eastAsia="仿宋" w:cs="仿宋"/>
          <w:sz w:val="28"/>
          <w:szCs w:val="28"/>
        </w:rPr>
        <w:t xml:space="preserve">能完成汽车发动机、手动变速器总成大修及部件检修。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能完成汽车制动系统、悬架转向系统总成及部件检修，能完成汽车车身电器系统、空调系统总成及部件检修。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能完成汽车发动机电器及控制系统总成及部件检修。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具有制订和实施简单维修作业方案的能力，能分析、排除车辆常见的简单故障。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能对本人完成的维修作业内容进行维修质量检验和评价。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Times New Roman"/>
          <w:sz w:val="28"/>
          <w:szCs w:val="28"/>
        </w:rPr>
      </w:pPr>
      <w:r>
        <w:rPr>
          <w:rFonts w:hint="eastAsia" w:ascii="仿宋" w:hAnsi="仿宋" w:eastAsia="仿宋" w:cs="仿宋"/>
          <w:sz w:val="28"/>
          <w:szCs w:val="28"/>
        </w:rPr>
        <w:t>能通过语言表达使客户清楚维修作业的目的和为客户提供用车建议；能通过语言或书面表达方式就工作任务与合作人员或部门之间进行沟通。</w:t>
      </w:r>
      <w:r>
        <w:rPr>
          <w:rFonts w:hint="eastAsia" w:ascii="仿宋" w:hAnsi="仿宋" w:eastAsia="仿宋" w:cs="Times New Roman"/>
          <w:sz w:val="28"/>
          <w:szCs w:val="28"/>
        </w:rPr>
        <w:t xml:space="preserve"> </w:t>
      </w:r>
    </w:p>
    <w:p>
      <w:pPr>
        <w:numPr>
          <w:ilvl w:val="0"/>
          <w:numId w:val="0"/>
        </w:numPr>
        <w:ind w:left="420" w:leftChars="0" w:firstLine="321" w:firstLineChars="100"/>
        <w:outlineLvl w:val="1"/>
        <w:rPr>
          <w:rFonts w:hint="eastAsia" w:ascii="楷体" w:hAnsi="楷体" w:eastAsia="楷体" w:cs="Times New Roman"/>
          <w:b/>
          <w:sz w:val="32"/>
          <w:szCs w:val="32"/>
          <w:lang w:val="en-US" w:eastAsia="zh-CN"/>
        </w:rPr>
      </w:pPr>
      <w:bookmarkStart w:id="69" w:name="_Toc5061"/>
      <w:r>
        <w:rPr>
          <w:rFonts w:hint="eastAsia" w:ascii="楷体" w:hAnsi="楷体" w:eastAsia="楷体" w:cs="Times New Roman"/>
          <w:b/>
          <w:sz w:val="32"/>
          <w:szCs w:val="32"/>
          <w:lang w:val="en-US" w:eastAsia="zh-CN"/>
        </w:rPr>
        <w:t>3.技能</w:t>
      </w:r>
      <w:bookmarkEnd w:id="69"/>
    </w:p>
    <w:p>
      <w:pPr>
        <w:spacing w:line="480" w:lineRule="exact"/>
        <w:ind w:left="1260"/>
        <w:rPr>
          <w:rFonts w:hint="eastAsia" w:ascii="楷体" w:hAnsi="楷体" w:eastAsia="楷体" w:cs="仿宋"/>
          <w:b/>
          <w:kern w:val="1"/>
          <w:sz w:val="30"/>
          <w:szCs w:val="30"/>
        </w:rPr>
      </w:pPr>
      <w:r>
        <w:rPr>
          <w:rFonts w:hint="eastAsia" w:ascii="楷体" w:hAnsi="楷体" w:eastAsia="楷体" w:cs="仿宋"/>
          <w:b/>
          <w:kern w:val="1"/>
          <w:sz w:val="30"/>
          <w:szCs w:val="30"/>
          <w:lang w:val="en-US" w:eastAsia="zh-CN"/>
        </w:rPr>
        <w:t>(1）</w:t>
      </w:r>
      <w:r>
        <w:rPr>
          <w:rFonts w:hint="eastAsia" w:ascii="楷体" w:hAnsi="楷体" w:eastAsia="楷体" w:cs="仿宋"/>
          <w:b/>
          <w:kern w:val="1"/>
          <w:sz w:val="30"/>
          <w:szCs w:val="30"/>
        </w:rPr>
        <w:t>汽车机修方向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lang w:eastAsia="zh-CN"/>
        </w:rPr>
        <w:t>①</w:t>
      </w:r>
      <w:r>
        <w:rPr>
          <w:rFonts w:hint="eastAsia" w:ascii="仿宋" w:hAnsi="仿宋" w:eastAsia="仿宋" w:cs="仿宋"/>
          <w:sz w:val="28"/>
          <w:szCs w:val="28"/>
        </w:rPr>
        <w:t xml:space="preserve">具备汽车发动机、底盘机械维修的能力。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lang w:eastAsia="zh-CN"/>
        </w:rPr>
        <w:t>②</w:t>
      </w:r>
      <w:r>
        <w:rPr>
          <w:rFonts w:hint="eastAsia" w:ascii="仿宋" w:hAnsi="仿宋" w:eastAsia="仿宋" w:cs="仿宋"/>
          <w:sz w:val="28"/>
          <w:szCs w:val="28"/>
        </w:rPr>
        <w:t xml:space="preserve">具备根据客户描述初步判断常见汽车发动机、底盘故障范围的能力。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lang w:eastAsia="zh-CN"/>
        </w:rPr>
        <w:t>③</w:t>
      </w:r>
      <w:r>
        <w:rPr>
          <w:rFonts w:hint="eastAsia" w:ascii="仿宋" w:hAnsi="仿宋" w:eastAsia="仿宋" w:cs="仿宋"/>
          <w:sz w:val="28"/>
          <w:szCs w:val="28"/>
        </w:rPr>
        <w:t xml:space="preserve">具备汽车自动变速器检查、维修的能力。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lang w:eastAsia="zh-CN"/>
        </w:rPr>
        <w:t>④</w:t>
      </w:r>
      <w:r>
        <w:rPr>
          <w:rFonts w:hint="eastAsia" w:ascii="仿宋" w:hAnsi="仿宋" w:eastAsia="仿宋" w:cs="仿宋"/>
          <w:sz w:val="28"/>
          <w:szCs w:val="28"/>
        </w:rPr>
        <w:t xml:space="preserve">具备汽车发动机、底盘常见故障的诊断、分析、总结和工作文件归档的能力。 </w:t>
      </w:r>
    </w:p>
    <w:p>
      <w:pPr>
        <w:spacing w:line="480" w:lineRule="exact"/>
        <w:ind w:left="1260"/>
        <w:rPr>
          <w:rFonts w:hint="eastAsia" w:ascii="楷体" w:hAnsi="楷体" w:eastAsia="楷体" w:cs="仿宋"/>
          <w:b/>
          <w:color w:val="auto"/>
          <w:kern w:val="1"/>
          <w:sz w:val="30"/>
          <w:szCs w:val="30"/>
        </w:rPr>
      </w:pPr>
      <w:r>
        <w:rPr>
          <w:rFonts w:hint="eastAsia" w:ascii="楷体" w:hAnsi="楷体" w:eastAsia="楷体" w:cs="仿宋"/>
          <w:b/>
          <w:color w:val="auto"/>
          <w:kern w:val="1"/>
          <w:sz w:val="30"/>
          <w:szCs w:val="30"/>
          <w:lang w:val="en-US" w:eastAsia="zh-CN"/>
        </w:rPr>
        <w:t>(2）</w:t>
      </w:r>
      <w:r>
        <w:rPr>
          <w:rFonts w:hint="eastAsia" w:ascii="楷体" w:hAnsi="楷体" w:eastAsia="楷体" w:cs="仿宋"/>
          <w:b/>
          <w:color w:val="auto"/>
          <w:kern w:val="1"/>
          <w:sz w:val="30"/>
          <w:szCs w:val="30"/>
        </w:rPr>
        <w:t xml:space="preserve">汽车性能检测方向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①</w:t>
      </w:r>
      <w:r>
        <w:rPr>
          <w:rFonts w:hint="eastAsia" w:ascii="仿宋" w:hAnsi="仿宋" w:eastAsia="仿宋" w:cs="仿宋"/>
          <w:color w:val="auto"/>
          <w:sz w:val="28"/>
          <w:szCs w:val="28"/>
        </w:rPr>
        <w:t xml:space="preserve">具备汽车性能和汽车检测的基本知识。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②</w:t>
      </w:r>
      <w:r>
        <w:rPr>
          <w:rFonts w:hint="eastAsia" w:ascii="仿宋" w:hAnsi="仿宋" w:eastAsia="仿宋" w:cs="仿宋"/>
          <w:color w:val="auto"/>
          <w:sz w:val="28"/>
          <w:szCs w:val="28"/>
        </w:rPr>
        <w:t xml:space="preserve">具备正确使用汽车检测设备对汽车性能进行检测并根据标准、规范和规程等对检测结果做出判定的能力。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③</w:t>
      </w:r>
      <w:r>
        <w:rPr>
          <w:rFonts w:hint="eastAsia" w:ascii="仿宋" w:hAnsi="仿宋" w:eastAsia="仿宋" w:cs="仿宋"/>
          <w:color w:val="auto"/>
          <w:sz w:val="28"/>
          <w:szCs w:val="28"/>
        </w:rPr>
        <w:t xml:space="preserve">具备根据检测结果分析常见简单故障形成原因的能力，并能提供维修建议。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④</w:t>
      </w:r>
      <w:r>
        <w:rPr>
          <w:rFonts w:hint="eastAsia" w:ascii="仿宋" w:hAnsi="仿宋" w:eastAsia="仿宋" w:cs="仿宋"/>
          <w:color w:val="auto"/>
          <w:sz w:val="28"/>
          <w:szCs w:val="28"/>
        </w:rPr>
        <w:t xml:space="preserve">具备维护、调整汽车检测设备的能力。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⑤</w:t>
      </w:r>
      <w:r>
        <w:rPr>
          <w:rFonts w:hint="eastAsia" w:ascii="仿宋" w:hAnsi="仿宋" w:eastAsia="仿宋" w:cs="仿宋"/>
          <w:color w:val="auto"/>
          <w:sz w:val="28"/>
          <w:szCs w:val="28"/>
        </w:rPr>
        <w:t>具备汽车性能检测工作文件归档、评估和总结工作的能力。</w:t>
      </w:r>
    </w:p>
    <w:p>
      <w:pPr>
        <w:spacing w:line="480" w:lineRule="exact"/>
        <w:ind w:left="1260"/>
        <w:rPr>
          <w:rFonts w:hint="eastAsia" w:ascii="楷体" w:hAnsi="楷体" w:eastAsia="楷体" w:cs="仿宋"/>
          <w:b/>
          <w:color w:val="auto"/>
          <w:kern w:val="1"/>
          <w:sz w:val="30"/>
          <w:szCs w:val="30"/>
        </w:rPr>
      </w:pPr>
      <w:r>
        <w:rPr>
          <w:rFonts w:hint="eastAsia" w:ascii="楷体" w:hAnsi="楷体" w:eastAsia="楷体" w:cs="仿宋"/>
          <w:b/>
          <w:color w:val="auto"/>
          <w:kern w:val="1"/>
          <w:sz w:val="30"/>
          <w:szCs w:val="30"/>
          <w:lang w:val="en-US" w:eastAsia="zh-CN"/>
        </w:rPr>
        <w:t>(3）</w:t>
      </w:r>
      <w:r>
        <w:rPr>
          <w:rFonts w:hint="eastAsia" w:ascii="楷体" w:hAnsi="楷体" w:eastAsia="楷体" w:cs="仿宋"/>
          <w:b/>
          <w:color w:val="auto"/>
          <w:kern w:val="1"/>
          <w:sz w:val="30"/>
          <w:szCs w:val="30"/>
        </w:rPr>
        <w:t xml:space="preserve">汽车维修与接待方向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①</w:t>
      </w:r>
      <w:r>
        <w:rPr>
          <w:rFonts w:hint="eastAsia" w:ascii="仿宋" w:hAnsi="仿宋" w:eastAsia="仿宋" w:cs="仿宋"/>
          <w:color w:val="auto"/>
          <w:sz w:val="28"/>
          <w:szCs w:val="28"/>
        </w:rPr>
        <w:t xml:space="preserve">具有良好的人际沟通和客户服务意识。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②</w:t>
      </w:r>
      <w:r>
        <w:rPr>
          <w:rFonts w:hint="eastAsia" w:ascii="仿宋" w:hAnsi="仿宋" w:eastAsia="仿宋" w:cs="仿宋"/>
          <w:color w:val="auto"/>
          <w:sz w:val="28"/>
          <w:szCs w:val="28"/>
        </w:rPr>
        <w:t xml:space="preserve">具有从事维修业务接待的能力。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③</w:t>
      </w:r>
      <w:r>
        <w:rPr>
          <w:rFonts w:hint="eastAsia" w:ascii="仿宋" w:hAnsi="仿宋" w:eastAsia="仿宋" w:cs="仿宋"/>
          <w:color w:val="auto"/>
          <w:sz w:val="28"/>
          <w:szCs w:val="28"/>
        </w:rPr>
        <w:t xml:space="preserve">具有向客户提供车辆保险理赔咨询和建议的能力。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④</w:t>
      </w:r>
      <w:r>
        <w:rPr>
          <w:rFonts w:hint="eastAsia" w:ascii="仿宋" w:hAnsi="仿宋" w:eastAsia="仿宋" w:cs="仿宋"/>
          <w:color w:val="auto"/>
          <w:sz w:val="28"/>
          <w:szCs w:val="28"/>
        </w:rPr>
        <w:t xml:space="preserve">具有汽车精品、汽车配件销售的能力。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⑤</w:t>
      </w:r>
      <w:r>
        <w:rPr>
          <w:rFonts w:hint="eastAsia" w:ascii="仿宋" w:hAnsi="仿宋" w:eastAsia="仿宋" w:cs="仿宋"/>
          <w:color w:val="auto"/>
          <w:sz w:val="28"/>
          <w:szCs w:val="28"/>
        </w:rPr>
        <w:t>有维修业务接待工作文件归档、评估和总结工作的能力。</w:t>
      </w:r>
    </w:p>
    <w:p>
      <w:pPr>
        <w:spacing w:line="620" w:lineRule="exact"/>
        <w:outlineLvl w:val="0"/>
        <w:rPr>
          <w:rFonts w:hint="eastAsia" w:ascii="黑体" w:eastAsia="黑体"/>
          <w:sz w:val="32"/>
          <w:szCs w:val="32"/>
        </w:rPr>
      </w:pPr>
      <w:bookmarkStart w:id="70" w:name="_Toc17067"/>
      <w:r>
        <w:rPr>
          <w:rFonts w:hint="eastAsia" w:ascii="黑体" w:eastAsia="黑体"/>
          <w:sz w:val="32"/>
          <w:szCs w:val="32"/>
        </w:rPr>
        <w:t>六、课程设置及要求</w:t>
      </w:r>
      <w:bookmarkEnd w:id="70"/>
    </w:p>
    <w:p>
      <w:pPr>
        <w:spacing w:line="480" w:lineRule="exact"/>
        <w:ind w:firstLine="560" w:firstLineChars="200"/>
        <w:rPr>
          <w:rFonts w:hint="eastAsia" w:ascii="仿宋" w:hAnsi="仿宋" w:eastAsia="仿宋" w:cs="仿宋"/>
          <w:kern w:val="1"/>
          <w:sz w:val="28"/>
          <w:szCs w:val="28"/>
        </w:rPr>
      </w:pPr>
      <w:r>
        <w:rPr>
          <w:rFonts w:hint="eastAsia" w:ascii="仿宋" w:hAnsi="仿宋" w:eastAsia="仿宋" w:cs="仿宋"/>
          <w:kern w:val="1"/>
          <w:sz w:val="28"/>
          <w:szCs w:val="28"/>
          <w:lang w:eastAsia="zh-CN"/>
        </w:rPr>
        <w:t>本专业课程设置分为</w:t>
      </w:r>
      <w:r>
        <w:rPr>
          <w:rFonts w:hint="eastAsia" w:ascii="仿宋" w:hAnsi="仿宋" w:eastAsia="仿宋" w:cs="仿宋"/>
          <w:kern w:val="1"/>
          <w:sz w:val="28"/>
          <w:szCs w:val="28"/>
        </w:rPr>
        <w:t>公共基础课程和专业（技能）课程。</w:t>
      </w:r>
    </w:p>
    <w:p>
      <w:pPr>
        <w:spacing w:line="48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公共基础课包括德育课、文化课、体育与健康、公共艺术、历史，以及其他自然科学和人文科学类基础课。</w:t>
      </w:r>
    </w:p>
    <w:p>
      <w:pPr>
        <w:spacing w:line="48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专业技能课包括专业</w:t>
      </w:r>
      <w:r>
        <w:rPr>
          <w:rFonts w:hint="eastAsia" w:ascii="仿宋" w:hAnsi="仿宋" w:eastAsia="仿宋" w:cs="仿宋"/>
          <w:color w:val="000000" w:themeColor="text1"/>
          <w:sz w:val="28"/>
          <w:szCs w:val="28"/>
          <w:lang w:val="en-US" w:eastAsia="zh-CN"/>
          <w14:textFill>
            <w14:solidFill>
              <w14:schemeClr w14:val="tx1"/>
            </w14:solidFill>
          </w14:textFill>
        </w:rPr>
        <w:t>基础</w:t>
      </w:r>
      <w:r>
        <w:rPr>
          <w:rFonts w:hint="eastAsia" w:ascii="仿宋" w:hAnsi="仿宋" w:eastAsia="仿宋" w:cs="仿宋"/>
          <w:color w:val="000000" w:themeColor="text1"/>
          <w:sz w:val="28"/>
          <w:szCs w:val="28"/>
          <w14:textFill>
            <w14:solidFill>
              <w14:schemeClr w14:val="tx1"/>
            </w14:solidFill>
          </w14:textFill>
        </w:rPr>
        <w:t>课、专业</w:t>
      </w:r>
      <w:r>
        <w:rPr>
          <w:rFonts w:hint="eastAsia" w:ascii="仿宋" w:hAnsi="仿宋" w:eastAsia="仿宋" w:cs="仿宋"/>
          <w:color w:val="000000" w:themeColor="text1"/>
          <w:sz w:val="28"/>
          <w:szCs w:val="28"/>
          <w:lang w:val="en-US" w:eastAsia="zh-CN"/>
          <w14:textFill>
            <w14:solidFill>
              <w14:schemeClr w14:val="tx1"/>
            </w14:solidFill>
          </w14:textFill>
        </w:rPr>
        <w:t>核心</w:t>
      </w:r>
      <w:r>
        <w:rPr>
          <w:rFonts w:hint="eastAsia" w:ascii="仿宋" w:hAnsi="仿宋" w:eastAsia="仿宋" w:cs="仿宋"/>
          <w:color w:val="000000" w:themeColor="text1"/>
          <w:sz w:val="28"/>
          <w:szCs w:val="28"/>
          <w14:textFill>
            <w14:solidFill>
              <w14:schemeClr w14:val="tx1"/>
            </w14:solidFill>
          </w14:textFill>
        </w:rPr>
        <w:t>课、</w:t>
      </w:r>
      <w:r>
        <w:rPr>
          <w:rFonts w:hint="eastAsia" w:ascii="仿宋" w:hAnsi="仿宋" w:eastAsia="仿宋" w:cs="仿宋"/>
          <w:color w:val="000000" w:themeColor="text1"/>
          <w:sz w:val="28"/>
          <w:szCs w:val="28"/>
          <w:lang w:val="en-US" w:eastAsia="zh-CN"/>
          <w14:textFill>
            <w14:solidFill>
              <w14:schemeClr w14:val="tx1"/>
            </w14:solidFill>
          </w14:textFill>
        </w:rPr>
        <w:t>专业方向课、</w:t>
      </w:r>
      <w:r>
        <w:rPr>
          <w:rFonts w:hint="eastAsia" w:ascii="仿宋" w:hAnsi="仿宋" w:eastAsia="仿宋" w:cs="仿宋"/>
          <w:color w:val="000000" w:themeColor="text1"/>
          <w:sz w:val="28"/>
          <w:szCs w:val="28"/>
          <w14:textFill>
            <w14:solidFill>
              <w14:schemeClr w14:val="tx1"/>
            </w14:solidFill>
          </w14:textFill>
        </w:rPr>
        <w:t>专业</w:t>
      </w:r>
      <w:r>
        <w:rPr>
          <w:rFonts w:hint="eastAsia" w:ascii="仿宋" w:hAnsi="仿宋" w:eastAsia="仿宋" w:cs="仿宋"/>
          <w:color w:val="000000" w:themeColor="text1"/>
          <w:sz w:val="28"/>
          <w:szCs w:val="28"/>
          <w:lang w:val="en-US" w:eastAsia="zh-CN"/>
          <w14:textFill>
            <w14:solidFill>
              <w14:schemeClr w14:val="tx1"/>
            </w14:solidFill>
          </w14:textFill>
        </w:rPr>
        <w:t>拓展</w:t>
      </w:r>
      <w:r>
        <w:rPr>
          <w:rFonts w:hint="eastAsia" w:ascii="仿宋" w:hAnsi="仿宋" w:eastAsia="仿宋" w:cs="仿宋"/>
          <w:color w:val="000000" w:themeColor="text1"/>
          <w:sz w:val="28"/>
          <w:szCs w:val="28"/>
          <w14:textFill>
            <w14:solidFill>
              <w14:schemeClr w14:val="tx1"/>
            </w14:solidFill>
          </w14:textFill>
        </w:rPr>
        <w:t>课，实训实习是专业技能课教学的重要内容，含校内外实训、</w:t>
      </w:r>
      <w:r>
        <w:rPr>
          <w:rFonts w:hint="eastAsia" w:ascii="仿宋" w:hAnsi="仿宋" w:eastAsia="仿宋" w:cs="仿宋"/>
          <w:color w:val="000000" w:themeColor="text1"/>
          <w:sz w:val="28"/>
          <w:szCs w:val="28"/>
          <w:lang w:eastAsia="zh-CN"/>
          <w14:textFill>
            <w14:solidFill>
              <w14:schemeClr w14:val="tx1"/>
            </w14:solidFill>
          </w14:textFill>
        </w:rPr>
        <w:t>岗位实习</w:t>
      </w:r>
      <w:r>
        <w:rPr>
          <w:rFonts w:hint="eastAsia" w:ascii="仿宋" w:hAnsi="仿宋" w:eastAsia="仿宋" w:cs="仿宋"/>
          <w:color w:val="000000" w:themeColor="text1"/>
          <w:sz w:val="28"/>
          <w:szCs w:val="28"/>
          <w14:textFill>
            <w14:solidFill>
              <w14:schemeClr w14:val="tx1"/>
            </w14:solidFill>
          </w14:textFill>
        </w:rPr>
        <w:t>等多种形式。</w:t>
      </w:r>
    </w:p>
    <w:p>
      <w:pPr>
        <w:spacing w:line="480" w:lineRule="exact"/>
        <w:jc w:val="center"/>
        <w:rPr>
          <w:rFonts w:hint="eastAsia" w:ascii="仿宋" w:hAnsi="仿宋" w:eastAsia="仿宋" w:cs="仿宋"/>
          <w:sz w:val="24"/>
        </w:rPr>
      </w:pPr>
      <w:r>
        <w:rPr>
          <w:rFonts w:hint="eastAsia" w:ascii="仿宋" w:hAnsi="仿宋" w:eastAsia="仿宋" w:cs="仿宋"/>
          <w:sz w:val="24"/>
        </w:rPr>
        <w:t>表</w:t>
      </w:r>
      <w:r>
        <w:rPr>
          <w:rFonts w:hint="eastAsia" w:ascii="仿宋" w:hAnsi="仿宋" w:eastAsia="仿宋" w:cs="仿宋"/>
          <w:sz w:val="24"/>
          <w:lang w:val="en-US" w:eastAsia="zh-CN"/>
        </w:rPr>
        <w:t>2</w:t>
      </w:r>
      <w:r>
        <w:rPr>
          <w:rFonts w:hint="eastAsia" w:ascii="仿宋" w:hAnsi="仿宋" w:eastAsia="仿宋" w:cs="仿宋"/>
          <w:sz w:val="24"/>
        </w:rPr>
        <w:t xml:space="preserve"> ：汽车运用与维修专业课程结构</w:t>
      </w:r>
    </w:p>
    <w:tbl>
      <w:tblPr>
        <w:tblStyle w:val="10"/>
        <w:tblW w:w="9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134"/>
        <w:gridCol w:w="2718"/>
        <w:gridCol w:w="2628"/>
        <w:gridCol w:w="2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8" w:type="dxa"/>
            <w:vMerge w:val="restart"/>
            <w:tcBorders>
              <w:top w:val="double" w:color="auto" w:sz="12" w:space="0"/>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专业技能课程</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9123" w:type="dxa"/>
            <w:gridSpan w:val="4"/>
            <w:tcBorders>
              <w:top w:val="double" w:color="auto" w:sz="12" w:space="0"/>
              <w:left w:val="double" w:color="auto" w:sz="12" w:space="0"/>
              <w:bottom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lang w:eastAsia="zh-CN"/>
                <w14:textFill>
                  <w14:solidFill>
                    <w14:schemeClr w14:val="tx1"/>
                  </w14:solidFill>
                </w14:textFill>
              </w:rPr>
            </w:pPr>
            <w:r>
              <w:rPr>
                <w:rFonts w:hint="eastAsia" w:ascii="仿宋" w:hAnsi="仿宋" w:eastAsia="仿宋" w:cs="仿宋"/>
                <w:color w:val="000000" w:themeColor="text1"/>
                <w:sz w:val="24"/>
                <w:szCs w:val="28"/>
                <w:lang w:eastAsia="zh-CN"/>
                <w14:textFill>
                  <w14:solidFill>
                    <w14:schemeClr w14:val="tx1"/>
                  </w14:solidFill>
                </w14:textFill>
              </w:rPr>
              <w:t>岗位实习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68" w:type="dxa"/>
            <w:vMerge w:val="continue"/>
            <w:tcBorders>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9123" w:type="dxa"/>
            <w:gridSpan w:val="4"/>
            <w:tcBorders>
              <w:top w:val="double" w:color="auto" w:sz="12" w:space="0"/>
              <w:left w:val="double" w:color="auto" w:sz="12" w:space="0"/>
              <w:bottom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68" w:type="dxa"/>
            <w:vMerge w:val="continue"/>
            <w:tcBorders>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9123" w:type="dxa"/>
            <w:gridSpan w:val="4"/>
            <w:tcBorders>
              <w:left w:val="double" w:color="auto" w:sz="12" w:space="0"/>
              <w:bottom w:val="double" w:color="auto" w:sz="12" w:space="0"/>
              <w:right w:val="double" w:color="auto" w:sz="12" w:space="0"/>
            </w:tcBorders>
            <w:shd w:val="clear" w:color="auto" w:fill="auto"/>
            <w:noWrap w:val="0"/>
            <w:vAlign w:val="center"/>
          </w:tcPr>
          <w:p>
            <w:pPr>
              <w:spacing w:line="480" w:lineRule="exact"/>
              <w:jc w:val="center"/>
              <w:rPr>
                <w:rFonts w:hint="default"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认知实习、岗位实习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568" w:type="dxa"/>
            <w:vMerge w:val="continue"/>
            <w:tcBorders>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1134" w:type="dxa"/>
            <w:tcBorders>
              <w:top w:val="double" w:color="auto" w:sz="12" w:space="0"/>
              <w:left w:val="double" w:color="auto" w:sz="12" w:space="0"/>
            </w:tcBorders>
            <w:shd w:val="clear" w:color="auto" w:fill="auto"/>
            <w:noWrap w:val="0"/>
            <w:vAlign w:val="center"/>
          </w:tcPr>
          <w:p>
            <w:pPr>
              <w:spacing w:line="480" w:lineRule="exact"/>
              <w:jc w:val="center"/>
              <w:rPr>
                <w:rFonts w:hint="default"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专业拓展课</w:t>
            </w:r>
          </w:p>
        </w:tc>
        <w:tc>
          <w:tcPr>
            <w:tcW w:w="7989" w:type="dxa"/>
            <w:gridSpan w:val="3"/>
            <w:tcBorders>
              <w:top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汽车配件</w:t>
            </w:r>
            <w:r>
              <w:rPr>
                <w:rFonts w:hint="eastAsia" w:ascii="仿宋" w:hAnsi="仿宋" w:eastAsia="仿宋" w:cs="仿宋"/>
                <w:color w:val="000000" w:themeColor="text1"/>
                <w:sz w:val="24"/>
                <w:szCs w:val="28"/>
                <w:lang w:eastAsia="zh-CN"/>
                <w14:textFill>
                  <w14:solidFill>
                    <w14:schemeClr w14:val="tx1"/>
                  </w14:solidFill>
                </w14:textFill>
              </w:rPr>
              <w:t>营销</w:t>
            </w:r>
            <w:r>
              <w:rPr>
                <w:rFonts w:hint="eastAsia" w:ascii="仿宋" w:hAnsi="仿宋" w:eastAsia="仿宋" w:cs="仿宋"/>
                <w:color w:val="000000" w:themeColor="text1"/>
                <w:sz w:val="24"/>
                <w:szCs w:val="28"/>
                <w14:textFill>
                  <w14:solidFill>
                    <w14:schemeClr w14:val="tx1"/>
                  </w14:solidFill>
                </w14:textFill>
              </w:rPr>
              <w:t>、汽车营销实务</w:t>
            </w:r>
            <w:r>
              <w:rPr>
                <w:rFonts w:hint="eastAsia" w:ascii="仿宋" w:hAnsi="仿宋" w:eastAsia="仿宋" w:cs="仿宋"/>
                <w:color w:val="000000" w:themeColor="text1"/>
                <w:sz w:val="24"/>
                <w:szCs w:val="28"/>
                <w:highlight w:val="none"/>
                <w:lang w:eastAsia="zh-CN"/>
                <w14:textFill>
                  <w14:solidFill>
                    <w14:schemeClr w14:val="tx1"/>
                  </w14:solidFill>
                </w14:textFill>
              </w:rPr>
              <w:t>、汽车美容与装潢</w:t>
            </w:r>
            <w:r>
              <w:rPr>
                <w:rFonts w:hint="eastAsia" w:ascii="仿宋" w:hAnsi="仿宋" w:eastAsia="仿宋" w:cs="仿宋"/>
                <w:color w:val="000000" w:themeColor="text1"/>
                <w:sz w:val="24"/>
                <w:szCs w:val="28"/>
                <w:lang w:eastAsia="zh-CN"/>
                <w14:textFill>
                  <w14:solidFill>
                    <w14:schemeClr w14:val="tx1"/>
                  </w14:solidFill>
                </w14:textFill>
              </w:rPr>
              <w:t>、心理健康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568" w:type="dxa"/>
            <w:vMerge w:val="continue"/>
            <w:tcBorders>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1134" w:type="dxa"/>
            <w:vMerge w:val="restart"/>
            <w:tcBorders>
              <w:top w:val="double" w:color="auto" w:sz="12" w:space="0"/>
              <w:lef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专业</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（技能）</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方向</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课程</w:t>
            </w:r>
          </w:p>
        </w:tc>
        <w:tc>
          <w:tcPr>
            <w:tcW w:w="2718" w:type="dxa"/>
            <w:tcBorders>
              <w:top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方向1：</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汽车机修</w:t>
            </w:r>
          </w:p>
        </w:tc>
        <w:tc>
          <w:tcPr>
            <w:tcW w:w="2628" w:type="dxa"/>
            <w:tcBorders>
              <w:top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方向2：</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汽车性能检测</w:t>
            </w:r>
          </w:p>
        </w:tc>
        <w:tc>
          <w:tcPr>
            <w:tcW w:w="2643" w:type="dxa"/>
            <w:tcBorders>
              <w:top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方向3：</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汽车维修与接待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568" w:type="dxa"/>
            <w:vMerge w:val="continue"/>
            <w:tcBorders>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1134" w:type="dxa"/>
            <w:vMerge w:val="continue"/>
            <w:tcBorders>
              <w:left w:val="double" w:color="auto" w:sz="12" w:space="0"/>
              <w:bottom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2718" w:type="dxa"/>
            <w:tcBorders>
              <w:bottom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1.汽车发动机及底盘常见故障的诊断与维修</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2.汽车自动变速器维修</w:t>
            </w:r>
          </w:p>
        </w:tc>
        <w:tc>
          <w:tcPr>
            <w:tcW w:w="2628" w:type="dxa"/>
            <w:tcBorders>
              <w:bottom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1.汽车检测与诊断技术</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2.汽车检测设备的使用与维护</w:t>
            </w:r>
          </w:p>
        </w:tc>
        <w:tc>
          <w:tcPr>
            <w:tcW w:w="2643" w:type="dxa"/>
            <w:tcBorders>
              <w:bottom w:val="double" w:color="auto" w:sz="12" w:space="0"/>
              <w:right w:val="double" w:color="auto" w:sz="12" w:space="0"/>
            </w:tcBorders>
            <w:shd w:val="clear" w:color="auto" w:fill="auto"/>
            <w:noWrap w:val="0"/>
            <w:vAlign w:val="center"/>
          </w:tcPr>
          <w:p>
            <w:pPr>
              <w:spacing w:line="480" w:lineRule="exact"/>
              <w:jc w:val="both"/>
              <w:rPr>
                <w:rFonts w:hint="eastAsia"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1.汽车维修接待</w:t>
            </w:r>
            <w:r>
              <w:rPr>
                <w:rFonts w:hint="eastAsia" w:ascii="仿宋" w:hAnsi="仿宋" w:eastAsia="仿宋" w:cs="仿宋"/>
                <w:color w:val="000000" w:themeColor="text1"/>
                <w:sz w:val="24"/>
                <w:szCs w:val="28"/>
                <w:lang w:val="en-US" w:eastAsia="zh-CN"/>
                <w14:textFill>
                  <w14:solidFill>
                    <w14:schemeClr w14:val="tx1"/>
                  </w14:solidFill>
                </w14:textFill>
              </w:rPr>
              <w:t>实务</w:t>
            </w:r>
          </w:p>
          <w:p>
            <w:pPr>
              <w:spacing w:line="480" w:lineRule="exact"/>
              <w:jc w:val="both"/>
              <w:rPr>
                <w:rFonts w:hint="eastAsia"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2.汽车</w:t>
            </w:r>
            <w:r>
              <w:rPr>
                <w:rFonts w:hint="eastAsia" w:ascii="仿宋" w:hAnsi="仿宋" w:eastAsia="仿宋" w:cs="仿宋"/>
                <w:color w:val="000000" w:themeColor="text1"/>
                <w:sz w:val="24"/>
                <w:szCs w:val="28"/>
                <w:lang w:val="en-US" w:eastAsia="zh-CN"/>
                <w14:textFill>
                  <w14:solidFill>
                    <w14:schemeClr w14:val="tx1"/>
                  </w14:solidFill>
                </w14:textFill>
              </w:rPr>
              <w:t>保险与理赔</w:t>
            </w:r>
          </w:p>
          <w:p>
            <w:pPr>
              <w:spacing w:line="480" w:lineRule="exact"/>
              <w:jc w:val="both"/>
              <w:rPr>
                <w:rFonts w:hint="default" w:ascii="仿宋" w:hAnsi="仿宋" w:eastAsia="仿宋" w:cs="仿宋"/>
                <w:color w:val="000000" w:themeColor="text1"/>
                <w:sz w:val="24"/>
                <w:szCs w:val="2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568" w:type="dxa"/>
            <w:vMerge w:val="continue"/>
            <w:tcBorders>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1134" w:type="dxa"/>
            <w:tcBorders>
              <w:top w:val="double" w:color="auto" w:sz="12" w:space="0"/>
              <w:left w:val="double" w:color="auto" w:sz="12" w:space="0"/>
              <w:bottom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专业核心课程</w:t>
            </w:r>
          </w:p>
        </w:tc>
        <w:tc>
          <w:tcPr>
            <w:tcW w:w="7989" w:type="dxa"/>
            <w:gridSpan w:val="3"/>
            <w:tcBorders>
              <w:top w:val="double" w:color="auto" w:sz="12" w:space="0"/>
              <w:bottom w:val="double" w:color="auto" w:sz="12" w:space="0"/>
              <w:right w:val="double" w:color="auto" w:sz="12" w:space="0"/>
            </w:tcBorders>
            <w:shd w:val="clear" w:color="auto" w:fill="auto"/>
            <w:noWrap w:val="0"/>
            <w:vAlign w:val="center"/>
          </w:tcPr>
          <w:p>
            <w:pPr>
              <w:jc w:val="center"/>
              <w:rPr>
                <w:rFonts w:hint="eastAsia" w:ascii="仿宋" w:hAnsi="仿宋" w:eastAsia="仿宋" w:cs="宋体"/>
                <w:color w:val="000000" w:themeColor="text1"/>
                <w:sz w:val="24"/>
                <w:szCs w:val="28"/>
                <w:lang w:eastAsia="zh-CN"/>
                <w14:textFill>
                  <w14:solidFill>
                    <w14:schemeClr w14:val="tx1"/>
                  </w14:solidFill>
                </w14:textFill>
              </w:rPr>
            </w:pPr>
            <w:r>
              <w:rPr>
                <w:rFonts w:hint="eastAsia" w:ascii="仿宋" w:hAnsi="仿宋" w:eastAsia="仿宋" w:cs="宋体"/>
                <w:color w:val="000000" w:themeColor="text1"/>
                <w:sz w:val="24"/>
                <w:szCs w:val="28"/>
                <w:lang w:val="en-US" w:eastAsia="zh-CN"/>
                <w14:textFill>
                  <w14:solidFill>
                    <w14:schemeClr w14:val="tx1"/>
                  </w14:solidFill>
                </w14:textFill>
              </w:rPr>
              <w:t>汽车定期维护（一）、</w:t>
            </w:r>
            <w:r>
              <w:rPr>
                <w:rFonts w:hint="eastAsia" w:ascii="仿宋" w:hAnsi="仿宋" w:eastAsia="仿宋" w:cs="宋体"/>
                <w:color w:val="000000" w:themeColor="text1"/>
                <w:sz w:val="24"/>
                <w:szCs w:val="28"/>
                <w14:textFill>
                  <w14:solidFill>
                    <w14:schemeClr w14:val="tx1"/>
                  </w14:solidFill>
                </w14:textFill>
              </w:rPr>
              <w:t>汽车发动机机械维修、汽车传动系统维修、汽车悬挂、转向与制动系统维修、汽车发动机电器与控制系统检修、汽车车身电气设备检修、汽车空调系统检修</w:t>
            </w:r>
            <w:r>
              <w:rPr>
                <w:rFonts w:hint="eastAsia" w:ascii="仿宋" w:hAnsi="仿宋" w:eastAsia="仿宋" w:cs="宋体"/>
                <w:color w:val="000000" w:themeColor="text1"/>
                <w:sz w:val="24"/>
                <w:szCs w:val="28"/>
                <w:lang w:eastAsia="zh-CN"/>
                <w14:textFill>
                  <w14:solidFill>
                    <w14:schemeClr w14:val="tx1"/>
                  </w14:solidFill>
                </w14:textFill>
              </w:rPr>
              <w:t>、</w:t>
            </w:r>
            <w:r>
              <w:rPr>
                <w:rFonts w:hint="eastAsia" w:ascii="仿宋" w:hAnsi="仿宋" w:eastAsia="仿宋" w:cs="宋体"/>
                <w:color w:val="000000" w:themeColor="text1"/>
                <w:sz w:val="24"/>
                <w:szCs w:val="28"/>
                <w:lang w:val="en-US" w:eastAsia="zh-CN"/>
                <w14:textFill>
                  <w14:solidFill>
                    <w14:schemeClr w14:val="tx1"/>
                  </w14:solidFill>
                </w14:textFill>
              </w:rPr>
              <w:t>汽车定期维护（二）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568" w:type="dxa"/>
            <w:vMerge w:val="continue"/>
            <w:tcBorders>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1134" w:type="dxa"/>
            <w:tcBorders>
              <w:top w:val="double" w:color="auto" w:sz="12" w:space="0"/>
              <w:left w:val="double" w:color="auto" w:sz="12" w:space="0"/>
              <w:bottom w:val="double" w:color="auto" w:sz="12" w:space="0"/>
            </w:tcBorders>
            <w:shd w:val="clear" w:color="auto" w:fill="auto"/>
            <w:noWrap w:val="0"/>
            <w:vAlign w:val="center"/>
          </w:tcPr>
          <w:p>
            <w:pPr>
              <w:spacing w:line="480" w:lineRule="exact"/>
              <w:jc w:val="center"/>
              <w:rPr>
                <w:rFonts w:hint="default"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专业基础课</w:t>
            </w:r>
          </w:p>
        </w:tc>
        <w:tc>
          <w:tcPr>
            <w:tcW w:w="7989" w:type="dxa"/>
            <w:gridSpan w:val="3"/>
            <w:tcBorders>
              <w:top w:val="double" w:color="auto" w:sz="12" w:space="0"/>
              <w:bottom w:val="double" w:color="auto" w:sz="12" w:space="0"/>
              <w:right w:val="double" w:color="auto" w:sz="12" w:space="0"/>
            </w:tcBorders>
            <w:shd w:val="clear" w:color="auto" w:fill="auto"/>
            <w:noWrap w:val="0"/>
            <w:vAlign w:val="center"/>
          </w:tcPr>
          <w:p>
            <w:pPr>
              <w:jc w:val="center"/>
              <w:rPr>
                <w:rFonts w:hint="default" w:ascii="仿宋" w:hAnsi="仿宋" w:eastAsia="仿宋" w:cs="宋体"/>
                <w:color w:val="000000" w:themeColor="text1"/>
                <w:sz w:val="24"/>
                <w:szCs w:val="28"/>
                <w:lang w:val="en-US" w:eastAsia="zh-CN"/>
                <w14:textFill>
                  <w14:solidFill>
                    <w14:schemeClr w14:val="tx1"/>
                  </w14:solidFill>
                </w14:textFill>
              </w:rPr>
            </w:pPr>
            <w:r>
              <w:rPr>
                <w:rFonts w:hint="eastAsia" w:ascii="仿宋" w:hAnsi="仿宋" w:eastAsia="仿宋" w:cs="宋体"/>
                <w:color w:val="000000" w:themeColor="text1"/>
                <w:sz w:val="24"/>
                <w:szCs w:val="28"/>
                <w14:textFill>
                  <w14:solidFill>
                    <w14:schemeClr w14:val="tx1"/>
                  </w14:solidFill>
                </w14:textFill>
              </w:rPr>
              <w:t>汽车文化、</w:t>
            </w:r>
            <w:r>
              <w:rPr>
                <w:rFonts w:hint="eastAsia" w:ascii="仿宋" w:hAnsi="仿宋" w:eastAsia="仿宋" w:cs="宋体"/>
                <w:color w:val="000000" w:themeColor="text1"/>
                <w:sz w:val="24"/>
                <w:szCs w:val="28"/>
                <w:lang w:val="en-US" w:eastAsia="zh-CN"/>
                <w14:textFill>
                  <w14:solidFill>
                    <w14:schemeClr w14:val="tx1"/>
                  </w14:solidFill>
                </w14:textFill>
              </w:rPr>
              <w:t>汽车机械基础、</w:t>
            </w:r>
            <w:r>
              <w:rPr>
                <w:rFonts w:hint="eastAsia" w:ascii="仿宋" w:hAnsi="仿宋" w:eastAsia="仿宋" w:cs="宋体"/>
                <w:color w:val="000000" w:themeColor="text1"/>
                <w:sz w:val="24"/>
                <w:szCs w:val="28"/>
                <w14:textFill>
                  <w14:solidFill>
                    <w14:schemeClr w14:val="tx1"/>
                  </w14:solidFill>
                </w14:textFill>
              </w:rPr>
              <w:t>汽车电工电子基础</w:t>
            </w:r>
            <w:r>
              <w:rPr>
                <w:rFonts w:hint="eastAsia" w:ascii="仿宋" w:hAnsi="仿宋" w:eastAsia="仿宋" w:cs="宋体"/>
                <w:color w:val="000000" w:themeColor="text1"/>
                <w:sz w:val="24"/>
                <w:szCs w:val="28"/>
                <w:lang w:eastAsia="zh-CN"/>
                <w14:textFill>
                  <w14:solidFill>
                    <w14:schemeClr w14:val="tx1"/>
                  </w14:solidFill>
                </w14:textFill>
              </w:rPr>
              <w:t>、</w:t>
            </w:r>
            <w:r>
              <w:rPr>
                <w:rFonts w:hint="eastAsia" w:ascii="仿宋" w:hAnsi="仿宋" w:eastAsia="仿宋" w:cs="宋体"/>
                <w:color w:val="000000" w:themeColor="text1"/>
                <w:sz w:val="24"/>
                <w:szCs w:val="28"/>
                <w:lang w:val="en-US" w:eastAsia="zh-CN"/>
                <w14:textFill>
                  <w14:solidFill>
                    <w14:schemeClr w14:val="tx1"/>
                  </w14:solidFill>
                </w14:textFill>
              </w:rPr>
              <w:t>汽车发动机构造与拆装、汽车底盘构造与拆装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568" w:type="dxa"/>
            <w:vMerge w:val="restart"/>
            <w:tcBorders>
              <w:top w:val="double" w:color="auto" w:sz="12" w:space="0"/>
              <w:left w:val="double" w:color="auto" w:sz="12" w:space="0"/>
              <w:right w:val="double" w:color="auto" w:sz="12" w:space="0"/>
            </w:tcBorders>
            <w:shd w:val="clear" w:color="auto" w:fill="auto"/>
            <w:noWrap w:val="0"/>
            <w:vAlign w:val="center"/>
          </w:tcPr>
          <w:p>
            <w:pPr>
              <w:spacing w:line="480" w:lineRule="exact"/>
              <w:jc w:val="center"/>
              <w:rPr>
                <w:rFonts w:hint="default"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公共基础课程</w:t>
            </w:r>
          </w:p>
        </w:tc>
        <w:tc>
          <w:tcPr>
            <w:tcW w:w="1134" w:type="dxa"/>
            <w:tcBorders>
              <w:top w:val="double" w:color="auto" w:sz="12" w:space="0"/>
              <w:left w:val="double" w:color="auto" w:sz="12" w:space="0"/>
              <w:bottom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lang w:eastAsia="zh-CN"/>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公共基础课程</w:t>
            </w:r>
            <w:r>
              <w:rPr>
                <w:rFonts w:hint="eastAsia" w:ascii="仿宋" w:hAnsi="仿宋" w:eastAsia="仿宋" w:cs="仿宋"/>
                <w:color w:val="000000" w:themeColor="text1"/>
                <w:sz w:val="24"/>
                <w:szCs w:val="28"/>
                <w:lang w:eastAsia="zh-CN"/>
                <w14:textFill>
                  <w14:solidFill>
                    <w14:schemeClr w14:val="tx1"/>
                  </w14:solidFill>
                </w14:textFill>
              </w:rPr>
              <w:t>（</w:t>
            </w:r>
            <w:r>
              <w:rPr>
                <w:rFonts w:hint="eastAsia" w:ascii="仿宋" w:hAnsi="仿宋" w:eastAsia="仿宋" w:cs="仿宋"/>
                <w:color w:val="000000" w:themeColor="text1"/>
                <w:sz w:val="24"/>
                <w:szCs w:val="28"/>
                <w:lang w:val="en-US" w:eastAsia="zh-CN"/>
                <w14:textFill>
                  <w14:solidFill>
                    <w14:schemeClr w14:val="tx1"/>
                  </w14:solidFill>
                </w14:textFill>
              </w:rPr>
              <w:t>选</w:t>
            </w:r>
            <w:r>
              <w:rPr>
                <w:rFonts w:hint="eastAsia" w:ascii="仿宋" w:hAnsi="仿宋" w:eastAsia="仿宋" w:cs="仿宋"/>
                <w:color w:val="000000" w:themeColor="text1"/>
                <w:sz w:val="24"/>
                <w:szCs w:val="28"/>
                <w:lang w:eastAsia="zh-CN"/>
                <w14:textFill>
                  <w14:solidFill>
                    <w14:schemeClr w14:val="tx1"/>
                  </w14:solidFill>
                </w14:textFill>
              </w:rPr>
              <w:t>修课）</w:t>
            </w:r>
          </w:p>
        </w:tc>
        <w:tc>
          <w:tcPr>
            <w:tcW w:w="7989" w:type="dxa"/>
            <w:gridSpan w:val="3"/>
            <w:tcBorders>
              <w:top w:val="double" w:color="auto" w:sz="12" w:space="0"/>
              <w:bottom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kern w:val="1"/>
                <w:sz w:val="24"/>
                <w:szCs w:val="28"/>
                <w:lang w:eastAsia="zh-CN"/>
                <w14:textFill>
                  <w14:solidFill>
                    <w14:schemeClr w14:val="tx1"/>
                  </w14:solidFill>
                </w14:textFill>
              </w:rPr>
            </w:pPr>
            <w:r>
              <w:rPr>
                <w:rFonts w:hint="eastAsia" w:ascii="仿宋" w:hAnsi="仿宋" w:eastAsia="仿宋" w:cs="宋体"/>
                <w:color w:val="000000" w:themeColor="text1"/>
                <w:sz w:val="24"/>
                <w:szCs w:val="28"/>
                <w:lang w:val="en-US" w:eastAsia="zh-CN"/>
                <w14:textFill>
                  <w14:solidFill>
                    <w14:schemeClr w14:val="tx1"/>
                  </w14:solidFill>
                </w14:textFill>
              </w:rPr>
              <w:t>外国历史、中华优秀传统文化、自然科学基础、就业指导与创业、贵州省情、法治意识教育、化学。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568" w:type="dxa"/>
            <w:vMerge w:val="continue"/>
            <w:tcBorders>
              <w:top w:val="double" w:color="auto" w:sz="12" w:space="0"/>
              <w:left w:val="double" w:color="auto" w:sz="12" w:space="0"/>
              <w:bottom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1134" w:type="dxa"/>
            <w:tcBorders>
              <w:top w:val="double" w:color="auto" w:sz="12" w:space="0"/>
              <w:left w:val="double" w:color="auto" w:sz="12" w:space="0"/>
              <w:bottom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lang w:eastAsia="zh-CN"/>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公共基础课程</w:t>
            </w:r>
            <w:r>
              <w:rPr>
                <w:rFonts w:hint="eastAsia" w:ascii="仿宋" w:hAnsi="仿宋" w:eastAsia="仿宋" w:cs="仿宋"/>
                <w:color w:val="000000" w:themeColor="text1"/>
                <w:sz w:val="24"/>
                <w:szCs w:val="28"/>
                <w:lang w:eastAsia="zh-CN"/>
                <w14:textFill>
                  <w14:solidFill>
                    <w14:schemeClr w14:val="tx1"/>
                  </w14:solidFill>
                </w14:textFill>
              </w:rPr>
              <w:t>（限定选修课）</w:t>
            </w:r>
          </w:p>
        </w:tc>
        <w:tc>
          <w:tcPr>
            <w:tcW w:w="7989" w:type="dxa"/>
            <w:gridSpan w:val="3"/>
            <w:tcBorders>
              <w:top w:val="double" w:color="auto" w:sz="12" w:space="0"/>
              <w:bottom w:val="double" w:color="auto" w:sz="12" w:space="0"/>
              <w:right w:val="double" w:color="auto" w:sz="12" w:space="0"/>
            </w:tcBorders>
            <w:shd w:val="clear" w:color="auto" w:fill="auto"/>
            <w:noWrap w:val="0"/>
            <w:vAlign w:val="center"/>
          </w:tcPr>
          <w:p>
            <w:pPr>
              <w:spacing w:line="480" w:lineRule="exact"/>
              <w:jc w:val="both"/>
              <w:rPr>
                <w:rFonts w:hint="default" w:ascii="仿宋" w:hAnsi="仿宋" w:eastAsia="仿宋" w:cs="仿宋"/>
                <w:color w:val="000000" w:themeColor="text1"/>
                <w:kern w:val="1"/>
                <w:sz w:val="24"/>
                <w:szCs w:val="28"/>
                <w:lang w:val="en-US" w:eastAsia="zh-CN"/>
                <w14:textFill>
                  <w14:solidFill>
                    <w14:schemeClr w14:val="tx1"/>
                  </w14:solidFill>
                </w14:textFill>
              </w:rPr>
            </w:pPr>
            <w:r>
              <w:rPr>
                <w:rFonts w:hint="eastAsia" w:ascii="仿宋" w:hAnsi="仿宋" w:eastAsia="仿宋" w:cs="宋体"/>
                <w:color w:val="000000" w:themeColor="text1"/>
                <w:sz w:val="24"/>
                <w:szCs w:val="28"/>
                <w:lang w:val="en-US" w:eastAsia="zh-CN"/>
                <w14:textFill>
                  <w14:solidFill>
                    <w14:schemeClr w14:val="tx1"/>
                  </w14:solidFill>
                </w14:textFill>
              </w:rPr>
              <w:t>普通话、统计学、汽车专业英语、花鼓操、羽毛球、篮球、汽车美容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568" w:type="dxa"/>
            <w:vMerge w:val="continue"/>
            <w:tcBorders>
              <w:top w:val="double" w:color="auto" w:sz="12" w:space="0"/>
              <w:left w:val="double" w:color="auto" w:sz="12" w:space="0"/>
              <w:bottom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1134" w:type="dxa"/>
            <w:tcBorders>
              <w:top w:val="double" w:color="auto" w:sz="12" w:space="0"/>
              <w:left w:val="double" w:color="auto" w:sz="12" w:space="0"/>
              <w:bottom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公共基础课程</w:t>
            </w:r>
            <w:r>
              <w:rPr>
                <w:rFonts w:hint="eastAsia" w:ascii="仿宋" w:hAnsi="仿宋" w:eastAsia="仿宋" w:cs="仿宋"/>
                <w:color w:val="000000" w:themeColor="text1"/>
                <w:sz w:val="24"/>
                <w:szCs w:val="28"/>
                <w:lang w:eastAsia="zh-CN"/>
                <w14:textFill>
                  <w14:solidFill>
                    <w14:schemeClr w14:val="tx1"/>
                  </w14:solidFill>
                </w14:textFill>
              </w:rPr>
              <w:t>（必修课）</w:t>
            </w:r>
          </w:p>
        </w:tc>
        <w:tc>
          <w:tcPr>
            <w:tcW w:w="7989" w:type="dxa"/>
            <w:gridSpan w:val="3"/>
            <w:tcBorders>
              <w:top w:val="double" w:color="auto" w:sz="12" w:space="0"/>
              <w:bottom w:val="double" w:color="auto" w:sz="12" w:space="0"/>
              <w:right w:val="double" w:color="auto" w:sz="12" w:space="0"/>
            </w:tcBorders>
            <w:shd w:val="clear" w:color="auto" w:fill="auto"/>
            <w:noWrap w:val="0"/>
            <w:vAlign w:val="center"/>
          </w:tcPr>
          <w:p>
            <w:pPr>
              <w:spacing w:line="480" w:lineRule="exact"/>
              <w:jc w:val="both"/>
              <w:rPr>
                <w:rFonts w:hint="eastAsia" w:ascii="仿宋" w:hAnsi="仿宋" w:eastAsia="仿宋" w:cs="宋体"/>
                <w:color w:val="000000" w:themeColor="text1"/>
                <w:sz w:val="24"/>
                <w:szCs w:val="28"/>
                <w:lang w:val="en-US" w:eastAsia="zh-CN"/>
                <w14:textFill>
                  <w14:solidFill>
                    <w14:schemeClr w14:val="tx1"/>
                  </w14:solidFill>
                </w14:textFill>
              </w:rPr>
            </w:pPr>
            <w:r>
              <w:rPr>
                <w:rFonts w:hint="eastAsia" w:ascii="仿宋" w:hAnsi="仿宋" w:eastAsia="仿宋" w:cs="宋体"/>
                <w:color w:val="000000" w:themeColor="text1"/>
                <w:sz w:val="24"/>
                <w:szCs w:val="28"/>
                <w:lang w:val="en-US" w:eastAsia="zh-CN"/>
                <w14:textFill>
                  <w14:solidFill>
                    <w14:schemeClr w14:val="tx1"/>
                  </w14:solidFill>
                </w14:textFill>
              </w:rPr>
              <w:t>中国特色社会主义、心理健康与职业生涯、职业道德与法律、哲学与人生、语文、历史、数学、英语、计算机应用基础、体育与健康、美术、物理、军训、劳动教育。</w:t>
            </w:r>
          </w:p>
          <w:p>
            <w:pPr>
              <w:spacing w:line="480" w:lineRule="exact"/>
              <w:jc w:val="both"/>
              <w:rPr>
                <w:rFonts w:hint="eastAsia" w:ascii="仿宋" w:hAnsi="仿宋" w:eastAsia="仿宋" w:cs="仿宋"/>
                <w:color w:val="000000" w:themeColor="text1"/>
                <w:kern w:val="1"/>
                <w:sz w:val="24"/>
                <w:szCs w:val="28"/>
                <w:lang w:eastAsia="zh-CN"/>
                <w14:textFill>
                  <w14:solidFill>
                    <w14:schemeClr w14:val="tx1"/>
                  </w14:solidFill>
                </w14:textFill>
              </w:rPr>
            </w:pPr>
          </w:p>
        </w:tc>
      </w:tr>
    </w:tbl>
    <w:p>
      <w:pPr>
        <w:spacing w:line="620" w:lineRule="exact"/>
        <w:outlineLvl w:val="1"/>
        <w:rPr>
          <w:rFonts w:hint="eastAsia" w:ascii="楷体_GB2312" w:eastAsia="楷体_GB2312"/>
          <w:b/>
          <w:sz w:val="32"/>
          <w:szCs w:val="32"/>
        </w:rPr>
      </w:pPr>
      <w:bookmarkStart w:id="71" w:name="_Toc20553"/>
    </w:p>
    <w:p>
      <w:pPr>
        <w:spacing w:line="620" w:lineRule="exact"/>
        <w:outlineLvl w:val="1"/>
        <w:rPr>
          <w:rFonts w:hint="eastAsia" w:ascii="楷体_GB2312" w:eastAsia="楷体_GB2312"/>
          <w:b/>
          <w:sz w:val="32"/>
          <w:szCs w:val="32"/>
        </w:rPr>
      </w:pPr>
      <w:bookmarkStart w:id="72" w:name="_Toc8205"/>
      <w:r>
        <w:rPr>
          <w:rFonts w:hint="eastAsia" w:ascii="楷体_GB2312" w:eastAsia="楷体_GB2312"/>
          <w:b/>
          <w:sz w:val="32"/>
          <w:szCs w:val="32"/>
        </w:rPr>
        <w:t>（一）公共基础课程</w:t>
      </w:r>
      <w:bookmarkEnd w:id="71"/>
      <w:bookmarkEnd w:id="72"/>
    </w:p>
    <w:p>
      <w:pPr>
        <w:spacing w:line="480" w:lineRule="exact"/>
        <w:ind w:firstLine="560"/>
        <w:jc w:val="center"/>
        <w:rPr>
          <w:rFonts w:hint="eastAsia" w:ascii="仿宋" w:hAnsi="仿宋" w:eastAsia="仿宋" w:cs="仿宋"/>
          <w:color w:val="000000" w:themeColor="text1"/>
          <w:sz w:val="22"/>
          <w:szCs w:val="24"/>
          <w14:textFill>
            <w14:solidFill>
              <w14:schemeClr w14:val="tx1"/>
            </w14:solidFill>
          </w14:textFill>
        </w:rPr>
      </w:pPr>
      <w:r>
        <w:rPr>
          <w:rFonts w:hint="eastAsia" w:ascii="仿宋" w:hAnsi="仿宋" w:eastAsia="仿宋" w:cs="仿宋"/>
          <w:color w:val="000000" w:themeColor="text1"/>
          <w:kern w:val="1"/>
          <w:sz w:val="22"/>
          <w:szCs w:val="24"/>
          <w14:textFill>
            <w14:solidFill>
              <w14:schemeClr w14:val="tx1"/>
            </w14:solidFill>
          </w14:textFill>
        </w:rPr>
        <w:t>表</w:t>
      </w:r>
      <w:r>
        <w:rPr>
          <w:rFonts w:hint="eastAsia" w:ascii="仿宋" w:hAnsi="仿宋" w:eastAsia="仿宋" w:cs="仿宋"/>
          <w:color w:val="000000" w:themeColor="text1"/>
          <w:kern w:val="1"/>
          <w:sz w:val="22"/>
          <w:szCs w:val="24"/>
          <w:lang w:val="en-US" w:eastAsia="zh-CN"/>
          <w14:textFill>
            <w14:solidFill>
              <w14:schemeClr w14:val="tx1"/>
            </w14:solidFill>
          </w14:textFill>
        </w:rPr>
        <w:t>3</w:t>
      </w:r>
      <w:r>
        <w:rPr>
          <w:rFonts w:hint="eastAsia" w:ascii="仿宋" w:hAnsi="仿宋" w:eastAsia="仿宋" w:cs="仿宋"/>
          <w:color w:val="000000" w:themeColor="text1"/>
          <w:kern w:val="1"/>
          <w:sz w:val="22"/>
          <w:szCs w:val="24"/>
          <w14:textFill>
            <w14:solidFill>
              <w14:schemeClr w14:val="tx1"/>
            </w14:solidFill>
          </w14:textFill>
        </w:rPr>
        <w:t xml:space="preserve"> ：</w:t>
      </w:r>
      <w:r>
        <w:rPr>
          <w:rFonts w:hint="eastAsia" w:ascii="仿宋" w:hAnsi="仿宋" w:eastAsia="仿宋" w:cs="仿宋"/>
          <w:color w:val="000000" w:themeColor="text1"/>
          <w:sz w:val="22"/>
          <w:szCs w:val="24"/>
          <w14:textFill>
            <w14:solidFill>
              <w14:schemeClr w14:val="tx1"/>
            </w14:solidFill>
          </w14:textFill>
        </w:rPr>
        <w:t>公共基础课程</w:t>
      </w:r>
      <w:r>
        <w:rPr>
          <w:rFonts w:hint="eastAsia" w:ascii="仿宋" w:hAnsi="仿宋" w:eastAsia="仿宋" w:cs="仿宋"/>
          <w:color w:val="000000" w:themeColor="text1"/>
          <w:sz w:val="22"/>
          <w:szCs w:val="24"/>
          <w:lang w:eastAsia="zh-CN"/>
          <w14:textFill>
            <w14:solidFill>
              <w14:schemeClr w14:val="tx1"/>
            </w14:solidFill>
          </w14:textFill>
        </w:rPr>
        <w:t>（必修课）</w:t>
      </w:r>
      <w:r>
        <w:rPr>
          <w:rFonts w:hint="eastAsia" w:ascii="仿宋" w:hAnsi="仿宋" w:eastAsia="仿宋" w:cs="仿宋"/>
          <w:color w:val="000000" w:themeColor="text1"/>
          <w:sz w:val="22"/>
          <w:szCs w:val="24"/>
          <w14:textFill>
            <w14:solidFill>
              <w14:schemeClr w14:val="tx1"/>
            </w14:solidFill>
          </w14:textFill>
        </w:rPr>
        <w:t>教学内容及要求</w:t>
      </w:r>
    </w:p>
    <w:tbl>
      <w:tblPr>
        <w:tblStyle w:val="11"/>
        <w:tblW w:w="9486"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1733"/>
        <w:gridCol w:w="5851"/>
        <w:gridCol w:w="642"/>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序号</w:t>
            </w:r>
          </w:p>
        </w:tc>
        <w:tc>
          <w:tcPr>
            <w:tcW w:w="1733"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课程名称</w:t>
            </w:r>
          </w:p>
        </w:tc>
        <w:tc>
          <w:tcPr>
            <w:tcW w:w="5851"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主要教学内容和要求</w:t>
            </w:r>
          </w:p>
        </w:tc>
        <w:tc>
          <w:tcPr>
            <w:tcW w:w="642"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参考学时</w:t>
            </w:r>
          </w:p>
        </w:tc>
        <w:tc>
          <w:tcPr>
            <w:tcW w:w="642"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职业道德与法律</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依据《中等职业学校职业道德与法律教学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》开设，并与专业实际和行业发展密切结合。</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36</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心理健康与职业生涯</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依据《中等职业学校思想政治课程标准》开设，并与专业实际和行业发展密切结合。</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36</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中国特色社会主义</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依据《中等职业学校思想政治课程标准》开设，并与专业实际和行业发展密切结合</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36</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4</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哲学与人生</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依据《中等职业学校哲学与人生教学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》开设，并与专业实际和行业发展密切结合。</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36</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5</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语文</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依据《中等职业学校语文教学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》开设，并注重在职业模块的教学内容中体现专业特色。</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144</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6</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数学</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依据《中等职业学校数学教学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》开设，并注重在职业模块的教学内容中体现专业特色。</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108</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7</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英语</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依据《中等职业学校英语教学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》开设，并注重在职业模块的教学内容中体现专业特色。</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108</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8</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计算机</w:t>
            </w:r>
            <w:r>
              <w:rPr>
                <w:rFonts w:hint="eastAsia" w:ascii="仿宋" w:hAnsi="仿宋" w:eastAsia="仿宋" w:cs="仿宋"/>
                <w:color w:val="000000"/>
                <w:szCs w:val="21"/>
                <w:lang w:eastAsia="zh-CN"/>
              </w:rPr>
              <w:t>应</w:t>
            </w:r>
            <w:r>
              <w:rPr>
                <w:rFonts w:hint="eastAsia" w:ascii="仿宋" w:hAnsi="仿宋" w:eastAsia="仿宋" w:cs="仿宋"/>
                <w:color w:val="000000"/>
                <w:szCs w:val="21"/>
              </w:rPr>
              <w:t>用基础</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依据《中等职业学校计算机应用基础教学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》开设，并注重在职业模块的教学内容中体现专业特色</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108</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9</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体育与健康</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依据《中等职业学校体育与健康教学指导纲要》开设，并与专业实际和行业发展密切结合。</w:t>
            </w: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72</w:t>
            </w:r>
          </w:p>
        </w:tc>
        <w:tc>
          <w:tcPr>
            <w:tcW w:w="642" w:type="dxa"/>
            <w:noWrap w:val="0"/>
            <w:vAlign w:val="center"/>
          </w:tcPr>
          <w:p>
            <w:pPr>
              <w:jc w:val="center"/>
              <w:rPr>
                <w:rFonts w:hint="eastAsia" w:ascii="仿宋" w:hAnsi="仿宋" w:eastAsia="仿宋" w:cs="仿宋"/>
                <w:color w:val="000000"/>
                <w:szCs w:val="21"/>
                <w:lang w:eastAsia="zh-CN"/>
              </w:rPr>
            </w:pPr>
            <w:r>
              <w:rPr>
                <w:rFonts w:hint="eastAsia" w:ascii="仿宋" w:hAnsi="仿宋" w:eastAsia="仿宋" w:cs="仿宋"/>
                <w:color w:val="00000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10</w:t>
            </w:r>
          </w:p>
        </w:tc>
        <w:tc>
          <w:tcPr>
            <w:tcW w:w="1733" w:type="dxa"/>
            <w:noWrap w:val="0"/>
            <w:vAlign w:val="center"/>
          </w:tcPr>
          <w:p>
            <w:pPr>
              <w:jc w:val="center"/>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美术</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依据《中等职业学校公共艺术教学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》开设，并与专业实际和行业发展密切结合。</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36</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11</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历史</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依据《中等职业学校历史教学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》开设，并与专业实际和行业发展密切结合。</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72</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12</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物理</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依据《中等职业学校物理教学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》开设，并与专业实际和行业发展密切结合。</w:t>
            </w: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72</w:t>
            </w:r>
          </w:p>
        </w:tc>
        <w:tc>
          <w:tcPr>
            <w:tcW w:w="642" w:type="dxa"/>
            <w:noWrap w:val="0"/>
            <w:vAlign w:val="center"/>
          </w:tcPr>
          <w:p>
            <w:pPr>
              <w:jc w:val="center"/>
              <w:rPr>
                <w:rFonts w:hint="eastAsia" w:ascii="仿宋" w:hAnsi="仿宋" w:eastAsia="仿宋" w:cs="仿宋"/>
                <w:color w:val="000000"/>
                <w:szCs w:val="21"/>
                <w:lang w:eastAsia="zh-CN"/>
              </w:rPr>
            </w:pPr>
            <w:r>
              <w:rPr>
                <w:rFonts w:hint="eastAsia" w:ascii="仿宋" w:hAnsi="仿宋" w:eastAsia="仿宋" w:cs="仿宋"/>
                <w:color w:val="00000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13</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合计</w:t>
            </w:r>
          </w:p>
        </w:tc>
        <w:tc>
          <w:tcPr>
            <w:tcW w:w="5851" w:type="dxa"/>
            <w:noWrap w:val="0"/>
            <w:vAlign w:val="center"/>
          </w:tcPr>
          <w:p>
            <w:pPr>
              <w:jc w:val="left"/>
              <w:rPr>
                <w:rFonts w:ascii="仿宋" w:hAnsi="仿宋" w:eastAsia="仿宋" w:cs="仿宋"/>
                <w:color w:val="000000"/>
                <w:szCs w:val="21"/>
              </w:rPr>
            </w:pP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980</w:t>
            </w: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52</w:t>
            </w:r>
          </w:p>
        </w:tc>
      </w:tr>
    </w:tbl>
    <w:p>
      <w:pPr>
        <w:spacing w:line="480" w:lineRule="exact"/>
        <w:ind w:firstLine="560"/>
        <w:jc w:val="center"/>
        <w:rPr>
          <w:rFonts w:hint="eastAsia" w:ascii="仿宋" w:hAnsi="仿宋" w:eastAsia="仿宋" w:cs="仿宋"/>
          <w:sz w:val="24"/>
          <w:szCs w:val="28"/>
          <w:lang w:eastAsia="zh-CN"/>
        </w:rPr>
      </w:pPr>
    </w:p>
    <w:p>
      <w:pPr>
        <w:spacing w:line="480" w:lineRule="exact"/>
        <w:ind w:firstLine="560"/>
        <w:jc w:val="center"/>
        <w:rPr>
          <w:rFonts w:hint="eastAsia" w:ascii="仿宋" w:hAnsi="仿宋" w:eastAsia="仿宋" w:cs="仿宋"/>
          <w:sz w:val="24"/>
          <w:szCs w:val="28"/>
        </w:rPr>
      </w:pPr>
      <w:r>
        <w:rPr>
          <w:rFonts w:hint="eastAsia" w:ascii="仿宋" w:hAnsi="仿宋" w:eastAsia="仿宋" w:cs="仿宋"/>
          <w:sz w:val="24"/>
          <w:szCs w:val="28"/>
          <w:lang w:eastAsia="zh-CN"/>
        </w:rPr>
        <w:t>表</w:t>
      </w:r>
      <w:r>
        <w:rPr>
          <w:rFonts w:hint="eastAsia" w:ascii="仿宋" w:hAnsi="仿宋" w:eastAsia="仿宋" w:cs="仿宋"/>
          <w:sz w:val="24"/>
          <w:szCs w:val="28"/>
          <w:lang w:val="en-US" w:eastAsia="zh-CN"/>
        </w:rPr>
        <w:t>4：</w:t>
      </w:r>
      <w:r>
        <w:rPr>
          <w:rFonts w:hint="eastAsia" w:ascii="仿宋" w:hAnsi="仿宋" w:eastAsia="仿宋" w:cs="仿宋"/>
          <w:sz w:val="24"/>
          <w:szCs w:val="28"/>
        </w:rPr>
        <w:t>公共基础课程</w:t>
      </w:r>
      <w:r>
        <w:rPr>
          <w:rFonts w:hint="eastAsia" w:ascii="仿宋" w:hAnsi="仿宋" w:eastAsia="仿宋" w:cs="仿宋"/>
          <w:sz w:val="24"/>
          <w:szCs w:val="28"/>
          <w:lang w:eastAsia="zh-CN"/>
        </w:rPr>
        <w:t>（限定选修课）</w:t>
      </w:r>
      <w:r>
        <w:rPr>
          <w:rFonts w:hint="eastAsia" w:ascii="仿宋" w:hAnsi="仿宋" w:eastAsia="仿宋" w:cs="仿宋"/>
          <w:sz w:val="24"/>
          <w:szCs w:val="28"/>
        </w:rPr>
        <w:t>教学内容及要求</w:t>
      </w:r>
    </w:p>
    <w:tbl>
      <w:tblPr>
        <w:tblStyle w:val="11"/>
        <w:tblW w:w="9486"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1621"/>
        <w:gridCol w:w="5969"/>
        <w:gridCol w:w="64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4"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序号</w:t>
            </w:r>
          </w:p>
        </w:tc>
        <w:tc>
          <w:tcPr>
            <w:tcW w:w="1621"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课程名称</w:t>
            </w:r>
          </w:p>
        </w:tc>
        <w:tc>
          <w:tcPr>
            <w:tcW w:w="5969"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主要教学内容和要求</w:t>
            </w:r>
          </w:p>
        </w:tc>
        <w:tc>
          <w:tcPr>
            <w:tcW w:w="640"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参考学时</w:t>
            </w:r>
          </w:p>
        </w:tc>
        <w:tc>
          <w:tcPr>
            <w:tcW w:w="642"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4"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w:t>
            </w:r>
          </w:p>
        </w:tc>
        <w:tc>
          <w:tcPr>
            <w:tcW w:w="1621"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普通话</w:t>
            </w:r>
          </w:p>
        </w:tc>
        <w:tc>
          <w:tcPr>
            <w:tcW w:w="5969"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掌握普通话声调、声母、韵母的规范发音，掌握普通话语流音变的基本规律，具备一定的方言辩证能力。能用标准和比较标准的普通话进行口语交际，并达到国家规定的普通话登记标准。掌握语气、语调、停连、重音、节奏等口语修辞技巧，使口语表情准确、鲜明、生动、流畅。</w:t>
            </w:r>
          </w:p>
        </w:tc>
        <w:tc>
          <w:tcPr>
            <w:tcW w:w="640"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54</w:t>
            </w:r>
          </w:p>
        </w:tc>
        <w:tc>
          <w:tcPr>
            <w:tcW w:w="642" w:type="dxa"/>
            <w:noWrap w:val="0"/>
            <w:vAlign w:val="center"/>
          </w:tcPr>
          <w:p>
            <w:pPr>
              <w:jc w:val="center"/>
              <w:rPr>
                <w:rFonts w:hint="eastAsia" w:ascii="仿宋" w:hAnsi="仿宋" w:eastAsia="仿宋" w:cs="仿宋"/>
                <w:color w:val="000000"/>
                <w:szCs w:val="21"/>
                <w:lang w:eastAsia="zh-CN"/>
              </w:rPr>
            </w:pPr>
            <w:r>
              <w:rPr>
                <w:rFonts w:hint="eastAsia" w:ascii="仿宋" w:hAnsi="仿宋" w:eastAsia="仿宋" w:cs="仿宋"/>
                <w:color w:val="000000"/>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4"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c>
          <w:tcPr>
            <w:tcW w:w="1621"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统计学</w:t>
            </w:r>
          </w:p>
        </w:tc>
        <w:tc>
          <w:tcPr>
            <w:tcW w:w="5969"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让学生能理解和掌握统计学的基本知识和技能。了解统计学认识社会的作用；能运用正确的立场、观点和方法；学会对社会经济现象进行调查研究；并能结合社会经济发展中的有关情况学会各种基本的统计分析方法。</w:t>
            </w:r>
          </w:p>
        </w:tc>
        <w:tc>
          <w:tcPr>
            <w:tcW w:w="640"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36</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4"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w:t>
            </w:r>
          </w:p>
        </w:tc>
        <w:tc>
          <w:tcPr>
            <w:tcW w:w="1621" w:type="dxa"/>
            <w:noWrap w:val="0"/>
            <w:vAlign w:val="center"/>
          </w:tcPr>
          <w:p>
            <w:pPr>
              <w:jc w:val="center"/>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汽车专业英语</w:t>
            </w:r>
          </w:p>
        </w:tc>
        <w:tc>
          <w:tcPr>
            <w:tcW w:w="5969" w:type="dxa"/>
            <w:noWrap w:val="0"/>
            <w:vAlign w:val="center"/>
          </w:tcPr>
          <w:p>
            <w:pPr>
              <w:jc w:val="left"/>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图文并茂，将汽车英语的识读、理解、记忆、融会贯通，便于学习和掌握。</w:t>
            </w:r>
          </w:p>
        </w:tc>
        <w:tc>
          <w:tcPr>
            <w:tcW w:w="640"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36</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4" w:type="dxa"/>
            <w:noWrap w:val="0"/>
            <w:vAlign w:val="center"/>
          </w:tcPr>
          <w:p>
            <w:pPr>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4</w:t>
            </w:r>
          </w:p>
        </w:tc>
        <w:tc>
          <w:tcPr>
            <w:tcW w:w="1621" w:type="dxa"/>
            <w:noWrap w:val="0"/>
            <w:vAlign w:val="center"/>
          </w:tcPr>
          <w:p>
            <w:pPr>
              <w:jc w:val="center"/>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汽车美容</w:t>
            </w:r>
          </w:p>
        </w:tc>
        <w:tc>
          <w:tcPr>
            <w:tcW w:w="5969" w:type="dxa"/>
            <w:noWrap w:val="0"/>
            <w:vAlign w:val="center"/>
          </w:tcPr>
          <w:p>
            <w:pPr>
              <w:jc w:val="left"/>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掌握汽车美容的基础理论、美容用品、美容设备及美容工艺。</w:t>
            </w:r>
          </w:p>
        </w:tc>
        <w:tc>
          <w:tcPr>
            <w:tcW w:w="640"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54</w:t>
            </w:r>
          </w:p>
        </w:tc>
        <w:tc>
          <w:tcPr>
            <w:tcW w:w="642" w:type="dxa"/>
            <w:noWrap w:val="0"/>
            <w:vAlign w:val="center"/>
          </w:tcPr>
          <w:p>
            <w:pPr>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4"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5</w:t>
            </w:r>
          </w:p>
        </w:tc>
        <w:tc>
          <w:tcPr>
            <w:tcW w:w="1621"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体育与健康</w:t>
            </w:r>
          </w:p>
        </w:tc>
        <w:tc>
          <w:tcPr>
            <w:tcW w:w="5969"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掌握花鼓舞、篮球足球、排球等技能，尤其是我们优秀的传统文化花鼓舞，锻炼学生的身体素质。</w:t>
            </w:r>
          </w:p>
        </w:tc>
        <w:tc>
          <w:tcPr>
            <w:tcW w:w="640"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108</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35" w:type="dxa"/>
            <w:gridSpan w:val="2"/>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合计</w:t>
            </w:r>
          </w:p>
        </w:tc>
        <w:tc>
          <w:tcPr>
            <w:tcW w:w="5969" w:type="dxa"/>
            <w:noWrap w:val="0"/>
            <w:vAlign w:val="center"/>
          </w:tcPr>
          <w:p>
            <w:pPr>
              <w:jc w:val="left"/>
              <w:rPr>
                <w:rFonts w:ascii="仿宋" w:hAnsi="仿宋" w:eastAsia="仿宋" w:cs="仿宋"/>
                <w:color w:val="000000"/>
                <w:szCs w:val="21"/>
              </w:rPr>
            </w:pPr>
          </w:p>
        </w:tc>
        <w:tc>
          <w:tcPr>
            <w:tcW w:w="640"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288</w:t>
            </w: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16</w:t>
            </w:r>
          </w:p>
        </w:tc>
      </w:tr>
    </w:tbl>
    <w:p>
      <w:pPr>
        <w:spacing w:line="480" w:lineRule="exact"/>
        <w:ind w:firstLine="560"/>
        <w:jc w:val="center"/>
        <w:rPr>
          <w:rFonts w:hint="eastAsia" w:ascii="仿宋" w:hAnsi="仿宋" w:eastAsia="仿宋" w:cs="仿宋"/>
          <w:color w:val="FF0000"/>
          <w:sz w:val="24"/>
          <w:szCs w:val="28"/>
        </w:rPr>
      </w:pPr>
    </w:p>
    <w:p>
      <w:pPr>
        <w:spacing w:line="480" w:lineRule="exact"/>
        <w:ind w:firstLine="560"/>
        <w:jc w:val="center"/>
        <w:rPr>
          <w:rFonts w:hint="eastAsia" w:ascii="仿宋" w:hAnsi="仿宋" w:eastAsia="仿宋" w:cs="仿宋"/>
          <w:color w:val="FF0000"/>
          <w:sz w:val="24"/>
          <w:szCs w:val="28"/>
        </w:rPr>
      </w:pPr>
      <w:r>
        <w:rPr>
          <w:rFonts w:hint="eastAsia" w:ascii="仿宋" w:hAnsi="仿宋" w:eastAsia="仿宋" w:cs="仿宋"/>
          <w:color w:val="000000" w:themeColor="text1"/>
          <w:sz w:val="24"/>
          <w:szCs w:val="28"/>
          <w:lang w:eastAsia="zh-CN"/>
          <w14:textFill>
            <w14:solidFill>
              <w14:schemeClr w14:val="tx1"/>
            </w14:solidFill>
          </w14:textFill>
        </w:rPr>
        <w:t>表</w:t>
      </w:r>
      <w:r>
        <w:rPr>
          <w:rFonts w:hint="eastAsia" w:ascii="仿宋" w:hAnsi="仿宋" w:eastAsia="仿宋" w:cs="仿宋"/>
          <w:color w:val="000000" w:themeColor="text1"/>
          <w:sz w:val="24"/>
          <w:szCs w:val="28"/>
          <w:lang w:val="en-US" w:eastAsia="zh-CN"/>
          <w14:textFill>
            <w14:solidFill>
              <w14:schemeClr w14:val="tx1"/>
            </w14:solidFill>
          </w14:textFill>
        </w:rPr>
        <w:t>5：</w:t>
      </w:r>
      <w:r>
        <w:rPr>
          <w:rFonts w:hint="eastAsia" w:ascii="仿宋" w:hAnsi="仿宋" w:eastAsia="仿宋" w:cs="仿宋"/>
          <w:color w:val="000000" w:themeColor="text1"/>
          <w:sz w:val="24"/>
          <w:szCs w:val="28"/>
          <w14:textFill>
            <w14:solidFill>
              <w14:schemeClr w14:val="tx1"/>
            </w14:solidFill>
          </w14:textFill>
        </w:rPr>
        <w:t>公共基础课程</w:t>
      </w:r>
      <w:r>
        <w:rPr>
          <w:rFonts w:hint="eastAsia" w:ascii="仿宋" w:hAnsi="仿宋" w:eastAsia="仿宋" w:cs="仿宋"/>
          <w:color w:val="000000" w:themeColor="text1"/>
          <w:sz w:val="24"/>
          <w:szCs w:val="28"/>
          <w:lang w:eastAsia="zh-CN"/>
          <w14:textFill>
            <w14:solidFill>
              <w14:schemeClr w14:val="tx1"/>
            </w14:solidFill>
          </w14:textFill>
        </w:rPr>
        <w:t>（公共选修课）</w:t>
      </w:r>
      <w:r>
        <w:rPr>
          <w:rFonts w:hint="eastAsia" w:ascii="仿宋" w:hAnsi="仿宋" w:eastAsia="仿宋" w:cs="仿宋"/>
          <w:color w:val="000000" w:themeColor="text1"/>
          <w:sz w:val="24"/>
          <w:szCs w:val="28"/>
          <w14:textFill>
            <w14:solidFill>
              <w14:schemeClr w14:val="tx1"/>
            </w14:solidFill>
          </w14:textFill>
        </w:rPr>
        <w:t>教学内容及要求</w:t>
      </w:r>
    </w:p>
    <w:tbl>
      <w:tblPr>
        <w:tblStyle w:val="11"/>
        <w:tblW w:w="9486"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6"/>
        <w:gridCol w:w="1733"/>
        <w:gridCol w:w="5853"/>
        <w:gridCol w:w="642"/>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序号</w:t>
            </w:r>
          </w:p>
        </w:tc>
        <w:tc>
          <w:tcPr>
            <w:tcW w:w="1733"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课程名称</w:t>
            </w:r>
          </w:p>
        </w:tc>
        <w:tc>
          <w:tcPr>
            <w:tcW w:w="5853"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主要教学内容和要求</w:t>
            </w:r>
          </w:p>
        </w:tc>
        <w:tc>
          <w:tcPr>
            <w:tcW w:w="642"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参考学时</w:t>
            </w:r>
          </w:p>
        </w:tc>
        <w:tc>
          <w:tcPr>
            <w:tcW w:w="642"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w:t>
            </w:r>
          </w:p>
        </w:tc>
        <w:tc>
          <w:tcPr>
            <w:tcW w:w="1733" w:type="dxa"/>
            <w:noWrap w:val="0"/>
            <w:vAlign w:val="center"/>
          </w:tcPr>
          <w:p>
            <w:pPr>
              <w:jc w:val="center"/>
              <w:rPr>
                <w:rFonts w:ascii="仿宋" w:hAnsi="仿宋" w:eastAsia="仿宋" w:cs="仿宋"/>
                <w:color w:val="000000"/>
                <w:szCs w:val="21"/>
              </w:rPr>
            </w:pPr>
            <w:r>
              <w:rPr>
                <w:rFonts w:ascii="仿宋" w:hAnsi="仿宋" w:eastAsia="仿宋" w:cs="仿宋"/>
                <w:color w:val="000000"/>
                <w:szCs w:val="21"/>
              </w:rPr>
              <w:t>外国历史</w:t>
            </w:r>
          </w:p>
        </w:tc>
        <w:tc>
          <w:tcPr>
            <w:tcW w:w="5853"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了解古希腊罗马史学；了解中世纪史学；了解近现代西方史学；了解当代史学；了解其他地区史学。</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18</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中华优秀传统文化</w:t>
            </w:r>
          </w:p>
        </w:tc>
        <w:tc>
          <w:tcPr>
            <w:tcW w:w="5853"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以弘扬爱国主义精神为核心，开展以天下兴亡、匹夫有责为重点的家国情怀教育；开展以仁爱共济、立己达人为重点的社会关爱教育；开展以正心笃志、崇德弘毅为重点的人格修养教育；以增强理性认识为重点，引导学生感悟去、精神内涵，增强中华优秀传统文化自信心。</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18</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自然科学教育</w:t>
            </w:r>
          </w:p>
        </w:tc>
        <w:tc>
          <w:tcPr>
            <w:tcW w:w="5853"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《中等职业学校学前教育专业教学用书：自然科学基础知识》是一门跨学科的新型综合教材，主要介绍了高中阶段物理、化学、生物方面的基础知识和天文的初步知识。</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18</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16"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4</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就业指导与创业教育</w:t>
            </w:r>
          </w:p>
        </w:tc>
        <w:tc>
          <w:tcPr>
            <w:tcW w:w="5853"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使学生了解就业形势，熟悉就业政策，提高就业竞争意识和依法维权意识；了解社会和职业职业状况，认识自我个性特点，激发全面提高自身素质的积极性和自觉性；了解就业素质要求，熟悉职业规范，形成正确的就业观，养成良好的职业道德；掌握就业与创业的基本途径和方法，提高就业竞争力及创业能力。</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18</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5</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贵州省情</w:t>
            </w:r>
          </w:p>
        </w:tc>
        <w:tc>
          <w:tcPr>
            <w:tcW w:w="5853"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18</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6</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法制意识教育</w:t>
            </w:r>
          </w:p>
        </w:tc>
        <w:tc>
          <w:tcPr>
            <w:tcW w:w="5853"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培育中职学生成为与现代社会法制、经济以及政治文明相符合的社会建设主体,主要的教育内容包含国家意识、道德意识以及民主意识等多方面。</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18</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7</w:t>
            </w:r>
          </w:p>
        </w:tc>
        <w:tc>
          <w:tcPr>
            <w:tcW w:w="1733" w:type="dxa"/>
            <w:noWrap w:val="0"/>
            <w:vAlign w:val="center"/>
          </w:tcPr>
          <w:p>
            <w:pPr>
              <w:jc w:val="center"/>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化学</w:t>
            </w:r>
          </w:p>
        </w:tc>
        <w:tc>
          <w:tcPr>
            <w:tcW w:w="5853" w:type="dxa"/>
            <w:noWrap w:val="0"/>
            <w:vAlign w:val="center"/>
          </w:tcPr>
          <w:p>
            <w:pPr>
              <w:jc w:val="left"/>
              <w:rPr>
                <w:rFonts w:hint="eastAsia" w:ascii="仿宋" w:hAnsi="仿宋" w:eastAsia="仿宋" w:cs="仿宋"/>
                <w:color w:val="000000"/>
                <w:szCs w:val="21"/>
              </w:rPr>
            </w:pPr>
            <w:r>
              <w:rPr>
                <w:rFonts w:hint="eastAsia" w:ascii="仿宋" w:hAnsi="仿宋" w:eastAsia="仿宋" w:cs="仿宋"/>
                <w:color w:val="000000"/>
                <w:szCs w:val="21"/>
              </w:rPr>
              <w:t>依据《中等职业学校</w:t>
            </w:r>
            <w:r>
              <w:rPr>
                <w:rFonts w:hint="eastAsia" w:ascii="仿宋" w:hAnsi="仿宋" w:eastAsia="仿宋" w:cs="仿宋"/>
                <w:color w:val="000000"/>
                <w:szCs w:val="21"/>
                <w:lang w:eastAsia="zh-CN"/>
              </w:rPr>
              <w:t>化学</w:t>
            </w:r>
            <w:r>
              <w:rPr>
                <w:rFonts w:hint="eastAsia" w:ascii="仿宋" w:hAnsi="仿宋" w:eastAsia="仿宋" w:cs="仿宋"/>
                <w:color w:val="000000"/>
                <w:szCs w:val="21"/>
              </w:rPr>
              <w:t>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》开设，并与专业实际和行业发展密切结合。</w:t>
            </w: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18</w:t>
            </w:r>
          </w:p>
        </w:tc>
        <w:tc>
          <w:tcPr>
            <w:tcW w:w="642" w:type="dxa"/>
            <w:noWrap w:val="0"/>
            <w:vAlign w:val="center"/>
          </w:tcPr>
          <w:p>
            <w:pPr>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16" w:type="dxa"/>
            <w:noWrap w:val="0"/>
            <w:vAlign w:val="center"/>
          </w:tcPr>
          <w:p>
            <w:pPr>
              <w:jc w:val="center"/>
              <w:rPr>
                <w:rFonts w:ascii="仿宋" w:hAnsi="仿宋" w:eastAsia="仿宋" w:cs="仿宋"/>
                <w:color w:val="000000"/>
                <w:szCs w:val="21"/>
              </w:rPr>
            </w:pP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小计</w:t>
            </w:r>
          </w:p>
        </w:tc>
        <w:tc>
          <w:tcPr>
            <w:tcW w:w="5853" w:type="dxa"/>
            <w:noWrap w:val="0"/>
            <w:vAlign w:val="center"/>
          </w:tcPr>
          <w:p>
            <w:pPr>
              <w:jc w:val="left"/>
              <w:rPr>
                <w:rFonts w:ascii="仿宋" w:hAnsi="仿宋" w:eastAsia="仿宋" w:cs="仿宋"/>
                <w:color w:val="000000"/>
                <w:szCs w:val="21"/>
              </w:rPr>
            </w:pP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126</w:t>
            </w: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16" w:type="dxa"/>
            <w:noWrap w:val="0"/>
            <w:vAlign w:val="center"/>
          </w:tcPr>
          <w:p>
            <w:pPr>
              <w:jc w:val="center"/>
              <w:rPr>
                <w:rFonts w:ascii="仿宋" w:hAnsi="仿宋" w:eastAsia="仿宋" w:cs="仿宋"/>
                <w:color w:val="000000"/>
                <w:szCs w:val="21"/>
              </w:rPr>
            </w:pP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应选修小计</w:t>
            </w:r>
          </w:p>
        </w:tc>
        <w:tc>
          <w:tcPr>
            <w:tcW w:w="5853" w:type="dxa"/>
            <w:noWrap w:val="0"/>
            <w:vAlign w:val="center"/>
          </w:tcPr>
          <w:p>
            <w:pPr>
              <w:jc w:val="left"/>
              <w:rPr>
                <w:rFonts w:ascii="仿宋" w:hAnsi="仿宋" w:eastAsia="仿宋" w:cs="仿宋"/>
                <w:color w:val="000000"/>
                <w:szCs w:val="21"/>
              </w:rPr>
            </w:pP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36</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r>
    </w:tbl>
    <w:p>
      <w:pPr>
        <w:numPr>
          <w:ilvl w:val="0"/>
          <w:numId w:val="3"/>
        </w:numPr>
        <w:spacing w:line="620" w:lineRule="exact"/>
        <w:ind w:firstLine="321" w:firstLineChars="100"/>
        <w:outlineLvl w:val="1"/>
        <w:rPr>
          <w:rFonts w:hint="eastAsia" w:ascii="楷体_GB2312" w:eastAsia="楷体_GB2312"/>
          <w:b/>
          <w:sz w:val="32"/>
          <w:szCs w:val="32"/>
        </w:rPr>
      </w:pPr>
      <w:bookmarkStart w:id="73" w:name="_Toc16029"/>
      <w:bookmarkStart w:id="74" w:name="_Toc26649"/>
      <w:r>
        <w:rPr>
          <w:rFonts w:hint="eastAsia" w:ascii="楷体_GB2312" w:eastAsia="楷体_GB2312"/>
          <w:b/>
          <w:sz w:val="32"/>
          <w:szCs w:val="32"/>
        </w:rPr>
        <w:t>专业（技能）课程</w:t>
      </w:r>
      <w:bookmarkEnd w:id="73"/>
      <w:bookmarkEnd w:id="74"/>
    </w:p>
    <w:p>
      <w:pPr>
        <w:numPr>
          <w:ilvl w:val="0"/>
          <w:numId w:val="4"/>
        </w:numPr>
        <w:spacing w:line="480" w:lineRule="exact"/>
        <w:ind w:left="987" w:hanging="420"/>
        <w:rPr>
          <w:rFonts w:hint="eastAsia" w:ascii="仿宋" w:hAnsi="仿宋" w:eastAsia="仿宋" w:cs="仿宋"/>
          <w:b/>
          <w:kern w:val="2"/>
          <w:sz w:val="28"/>
          <w:szCs w:val="22"/>
          <w:lang w:val="en-US" w:eastAsia="zh-CN" w:bidi="ar-SA"/>
        </w:rPr>
      </w:pPr>
      <w:r>
        <w:rPr>
          <w:rFonts w:hint="eastAsia" w:ascii="仿宋" w:hAnsi="仿宋" w:eastAsia="仿宋" w:cs="仿宋"/>
          <w:b/>
          <w:kern w:val="2"/>
          <w:sz w:val="28"/>
          <w:szCs w:val="22"/>
          <w:lang w:val="en-US" w:eastAsia="zh-CN" w:bidi="ar-SA"/>
        </w:rPr>
        <w:t>专业基础课程内容及要求</w:t>
      </w:r>
    </w:p>
    <w:p>
      <w:pPr>
        <w:spacing w:line="480" w:lineRule="exact"/>
        <w:ind w:firstLine="440" w:firstLineChars="200"/>
        <w:jc w:val="center"/>
        <w:rPr>
          <w:rFonts w:hint="eastAsia" w:ascii="仿宋" w:hAnsi="仿宋" w:eastAsia="仿宋" w:cs="仿宋"/>
          <w:sz w:val="22"/>
          <w:szCs w:val="24"/>
        </w:rPr>
      </w:pPr>
      <w:r>
        <w:rPr>
          <w:rFonts w:hint="eastAsia" w:ascii="仿宋" w:hAnsi="仿宋" w:eastAsia="仿宋" w:cs="仿宋"/>
          <w:sz w:val="22"/>
          <w:szCs w:val="24"/>
        </w:rPr>
        <w:t>表</w:t>
      </w:r>
      <w:r>
        <w:rPr>
          <w:rFonts w:hint="eastAsia" w:ascii="仿宋" w:hAnsi="仿宋" w:eastAsia="仿宋" w:cs="仿宋"/>
          <w:sz w:val="22"/>
          <w:szCs w:val="24"/>
          <w:lang w:val="en-US" w:eastAsia="zh-CN"/>
        </w:rPr>
        <w:t>6</w:t>
      </w:r>
      <w:r>
        <w:rPr>
          <w:rFonts w:hint="eastAsia" w:ascii="仿宋" w:hAnsi="仿宋" w:eastAsia="仿宋" w:cs="仿宋"/>
          <w:sz w:val="22"/>
          <w:szCs w:val="24"/>
        </w:rPr>
        <w:t xml:space="preserve"> ：专业</w:t>
      </w:r>
      <w:r>
        <w:rPr>
          <w:rFonts w:hint="eastAsia" w:ascii="仿宋" w:hAnsi="仿宋" w:eastAsia="仿宋" w:cs="仿宋"/>
          <w:sz w:val="22"/>
          <w:szCs w:val="24"/>
          <w:lang w:val="en-US" w:eastAsia="zh-CN"/>
        </w:rPr>
        <w:t>基础</w:t>
      </w:r>
      <w:r>
        <w:rPr>
          <w:rFonts w:hint="eastAsia" w:ascii="仿宋" w:hAnsi="仿宋" w:eastAsia="仿宋" w:cs="仿宋"/>
          <w:sz w:val="22"/>
          <w:szCs w:val="24"/>
        </w:rPr>
        <w:t>课教学内容及要求</w:t>
      </w:r>
    </w:p>
    <w:tbl>
      <w:tblPr>
        <w:tblStyle w:val="10"/>
        <w:tblpPr w:leftFromText="180" w:rightFromText="180" w:vertAnchor="text" w:horzAnchor="page" w:tblpX="1448" w:tblpY="185"/>
        <w:tblOverlap w:val="never"/>
        <w:tblW w:w="9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564"/>
        <w:gridCol w:w="5409"/>
        <w:gridCol w:w="818"/>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序号</w:t>
            </w:r>
          </w:p>
        </w:tc>
        <w:tc>
          <w:tcPr>
            <w:tcW w:w="1564"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课程名称</w:t>
            </w:r>
          </w:p>
        </w:tc>
        <w:tc>
          <w:tcPr>
            <w:tcW w:w="5409"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主要教学内容和要求</w:t>
            </w:r>
          </w:p>
        </w:tc>
        <w:tc>
          <w:tcPr>
            <w:tcW w:w="818"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学时</w:t>
            </w:r>
          </w:p>
        </w:tc>
        <w:tc>
          <w:tcPr>
            <w:tcW w:w="818"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1</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汽车文化</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kern w:val="0"/>
                <w:sz w:val="24"/>
              </w:rPr>
              <w:t>主要内容是了解汽车发展史、世界汽车简介、汽车的基本组成、汽车新技术、汽车驾驶与安全，使学生对汽车工业的发展和汽车的初步知识提前有所了解，提高学生学习汽车知识的兴趣</w:t>
            </w:r>
            <w:r>
              <w:rPr>
                <w:rFonts w:hint="eastAsia" w:ascii="仿宋" w:hAnsi="仿宋" w:eastAsia="仿宋" w:cs="仿宋"/>
                <w:kern w:val="0"/>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18</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2</w:t>
            </w:r>
          </w:p>
        </w:tc>
        <w:tc>
          <w:tcPr>
            <w:tcW w:w="1564" w:type="dxa"/>
            <w:noWrap w:val="0"/>
            <w:vAlign w:val="center"/>
          </w:tcPr>
          <w:p>
            <w:pPr>
              <w:jc w:val="center"/>
              <w:rPr>
                <w:rFonts w:hint="eastAsia" w:ascii="仿宋" w:hAnsi="仿宋" w:eastAsia="仿宋" w:cs="Times New Roman"/>
                <w:color w:val="000000"/>
                <w:sz w:val="24"/>
                <w:lang w:eastAsia="zh-CN"/>
              </w:rPr>
            </w:pPr>
            <w:r>
              <w:rPr>
                <w:rFonts w:hint="eastAsia" w:ascii="仿宋" w:hAnsi="仿宋" w:eastAsia="仿宋" w:cs="Times New Roman"/>
                <w:color w:val="000000"/>
                <w:sz w:val="24"/>
                <w:lang w:eastAsia="zh-CN"/>
              </w:rPr>
              <w:t>汽车机械基础</w:t>
            </w:r>
          </w:p>
        </w:tc>
        <w:tc>
          <w:tcPr>
            <w:tcW w:w="5409" w:type="dxa"/>
            <w:noWrap w:val="0"/>
            <w:vAlign w:val="center"/>
          </w:tcPr>
          <w:p>
            <w:pPr>
              <w:spacing w:line="480" w:lineRule="exact"/>
              <w:jc w:val="center"/>
              <w:rPr>
                <w:rFonts w:hint="eastAsia" w:ascii="仿宋" w:hAnsi="仿宋" w:eastAsia="仿宋" w:cs="仿宋"/>
                <w:kern w:val="0"/>
                <w:sz w:val="24"/>
                <w:lang w:eastAsia="zh-CN"/>
              </w:rPr>
            </w:pPr>
            <w:r>
              <w:rPr>
                <w:rFonts w:hint="eastAsia" w:ascii="仿宋" w:hAnsi="仿宋" w:eastAsia="仿宋" w:cs="仿宋"/>
                <w:kern w:val="0"/>
                <w:sz w:val="24"/>
                <w:lang w:eastAsia="zh-CN"/>
              </w:rPr>
              <w:t>主要内容是静力学基础、材料力学基础、常用机构和机械传动、连接与轴系零部件等。</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36</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3</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汽车电工电子基础</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kern w:val="0"/>
                <w:sz w:val="24"/>
              </w:rPr>
              <w:t>主要内容是使学生达到本专业应用性人才对汽车电工电子基本的知识和技能要求，并为后续各专业课程的学习作前期准备，同时培养学生具有一定的逻辑思维以及分析问题和解决问题的能力</w:t>
            </w:r>
            <w:r>
              <w:rPr>
                <w:rFonts w:hint="eastAsia" w:ascii="仿宋" w:hAnsi="仿宋" w:eastAsia="仿宋" w:cs="仿宋"/>
                <w:kern w:val="0"/>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36</w:t>
            </w:r>
          </w:p>
        </w:tc>
        <w:tc>
          <w:tcPr>
            <w:tcW w:w="818"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4</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汽车发动机构造与拆装</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kern w:val="0"/>
                <w:sz w:val="24"/>
              </w:rPr>
              <w:t>主要内容是</w:t>
            </w:r>
            <w:r>
              <w:rPr>
                <w:rFonts w:hint="eastAsia" w:ascii="仿宋" w:hAnsi="仿宋" w:eastAsia="仿宋" w:cs="仿宋"/>
                <w:sz w:val="24"/>
              </w:rPr>
              <w:t>了解发动机的结构和工作原理，掌握发动机维护的基 础知识，能够拆卸、装配发动机</w:t>
            </w:r>
            <w:r>
              <w:rPr>
                <w:rFonts w:hint="eastAsia" w:ascii="仿宋" w:hAnsi="仿宋" w:eastAsia="仿宋" w:cs="仿宋"/>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108</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5</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汽车底盘构造与拆装</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kern w:val="0"/>
                <w:sz w:val="24"/>
              </w:rPr>
              <w:t>主要内容是</w:t>
            </w:r>
            <w:r>
              <w:rPr>
                <w:rFonts w:hint="eastAsia" w:ascii="仿宋" w:hAnsi="仿宋" w:eastAsia="仿宋" w:cs="仿宋"/>
                <w:sz w:val="24"/>
              </w:rPr>
              <w:t>了解汽车底盘各系统、总成和部件的结构、功用，掌 握底盘维护的基础知识，能够拆卸、装配汽车底盘各总成</w:t>
            </w:r>
            <w:r>
              <w:rPr>
                <w:rFonts w:hint="eastAsia" w:ascii="仿宋" w:hAnsi="仿宋" w:eastAsia="仿宋" w:cs="仿宋"/>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108</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6</w:t>
            </w:r>
          </w:p>
        </w:tc>
      </w:tr>
    </w:tbl>
    <w:p>
      <w:pPr>
        <w:numPr>
          <w:ilvl w:val="0"/>
          <w:numId w:val="0"/>
        </w:numPr>
        <w:spacing w:line="480" w:lineRule="exact"/>
        <w:ind w:left="567" w:leftChars="0"/>
        <w:rPr>
          <w:rFonts w:hint="eastAsia" w:ascii="仿宋" w:hAnsi="仿宋" w:eastAsia="仿宋" w:cs="仿宋"/>
          <w:b/>
          <w:kern w:val="2"/>
          <w:sz w:val="28"/>
          <w:szCs w:val="22"/>
          <w:lang w:val="en-US" w:eastAsia="zh-CN" w:bidi="ar-SA"/>
        </w:rPr>
      </w:pPr>
    </w:p>
    <w:p>
      <w:pPr>
        <w:numPr>
          <w:ilvl w:val="0"/>
          <w:numId w:val="4"/>
        </w:numPr>
        <w:spacing w:line="480" w:lineRule="exact"/>
        <w:ind w:left="987" w:hanging="420"/>
        <w:rPr>
          <w:rFonts w:hint="eastAsia" w:ascii="仿宋" w:hAnsi="仿宋" w:eastAsia="仿宋" w:cs="仿宋"/>
          <w:b/>
          <w:kern w:val="2"/>
          <w:sz w:val="28"/>
          <w:szCs w:val="22"/>
          <w:lang w:val="en-US" w:eastAsia="zh-CN" w:bidi="ar-SA"/>
        </w:rPr>
      </w:pPr>
      <w:r>
        <w:rPr>
          <w:rFonts w:hint="eastAsia" w:ascii="仿宋" w:hAnsi="仿宋" w:eastAsia="仿宋" w:cs="仿宋"/>
          <w:b/>
          <w:kern w:val="2"/>
          <w:sz w:val="28"/>
          <w:szCs w:val="22"/>
          <w:lang w:val="en-US" w:eastAsia="zh-CN" w:bidi="ar-SA"/>
        </w:rPr>
        <w:t>专业核心课程内容及要求</w:t>
      </w:r>
    </w:p>
    <w:p>
      <w:pPr>
        <w:spacing w:line="480" w:lineRule="exact"/>
        <w:ind w:firstLine="440" w:firstLineChars="200"/>
        <w:jc w:val="center"/>
        <w:rPr>
          <w:rFonts w:hint="eastAsia" w:ascii="仿宋" w:hAnsi="仿宋" w:eastAsia="仿宋" w:cs="仿宋"/>
          <w:sz w:val="22"/>
          <w:szCs w:val="24"/>
        </w:rPr>
      </w:pPr>
      <w:r>
        <w:rPr>
          <w:rFonts w:hint="eastAsia" w:ascii="仿宋" w:hAnsi="仿宋" w:eastAsia="仿宋" w:cs="仿宋"/>
          <w:sz w:val="22"/>
          <w:szCs w:val="24"/>
        </w:rPr>
        <w:t>表</w:t>
      </w:r>
      <w:r>
        <w:rPr>
          <w:rFonts w:hint="eastAsia" w:ascii="仿宋" w:hAnsi="仿宋" w:eastAsia="仿宋" w:cs="仿宋"/>
          <w:sz w:val="22"/>
          <w:szCs w:val="24"/>
          <w:lang w:val="en-US" w:eastAsia="zh-CN"/>
        </w:rPr>
        <w:t>7</w:t>
      </w:r>
      <w:r>
        <w:rPr>
          <w:rFonts w:hint="eastAsia" w:ascii="仿宋" w:hAnsi="仿宋" w:eastAsia="仿宋" w:cs="仿宋"/>
          <w:sz w:val="22"/>
          <w:szCs w:val="24"/>
        </w:rPr>
        <w:t xml:space="preserve"> ：专业核心课教学内容及要求</w:t>
      </w:r>
    </w:p>
    <w:tbl>
      <w:tblPr>
        <w:tblStyle w:val="10"/>
        <w:tblpPr w:leftFromText="180" w:rightFromText="180" w:vertAnchor="text" w:horzAnchor="page" w:tblpX="1548" w:tblpY="361"/>
        <w:tblOverlap w:val="never"/>
        <w:tblW w:w="9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564"/>
        <w:gridCol w:w="5409"/>
        <w:gridCol w:w="818"/>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both"/>
              <w:rPr>
                <w:rFonts w:hint="eastAsia" w:ascii="仿宋" w:hAnsi="仿宋" w:eastAsia="仿宋" w:cs="仿宋"/>
                <w:sz w:val="24"/>
              </w:rPr>
            </w:pPr>
            <w:r>
              <w:rPr>
                <w:rFonts w:hint="eastAsia" w:ascii="仿宋" w:hAnsi="仿宋" w:eastAsia="仿宋" w:cs="仿宋"/>
                <w:sz w:val="24"/>
              </w:rPr>
              <w:t>序号</w:t>
            </w:r>
          </w:p>
        </w:tc>
        <w:tc>
          <w:tcPr>
            <w:tcW w:w="1564"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课程名称</w:t>
            </w:r>
          </w:p>
        </w:tc>
        <w:tc>
          <w:tcPr>
            <w:tcW w:w="5409"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主要教学内容和要求</w:t>
            </w:r>
          </w:p>
        </w:tc>
        <w:tc>
          <w:tcPr>
            <w:tcW w:w="818"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学时</w:t>
            </w:r>
          </w:p>
        </w:tc>
        <w:tc>
          <w:tcPr>
            <w:tcW w:w="818"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w:t>
            </w:r>
          </w:p>
        </w:tc>
        <w:tc>
          <w:tcPr>
            <w:tcW w:w="1564" w:type="dxa"/>
            <w:noWrap w:val="0"/>
            <w:vAlign w:val="center"/>
          </w:tcPr>
          <w:p>
            <w:pPr>
              <w:jc w:val="center"/>
              <w:rPr>
                <w:rFonts w:hint="eastAsia" w:ascii="仿宋" w:hAnsi="仿宋" w:eastAsia="仿宋" w:cs="Times New Roman"/>
                <w:color w:val="000000"/>
                <w:sz w:val="24"/>
                <w:lang w:eastAsia="zh-CN"/>
              </w:rPr>
            </w:pPr>
            <w:r>
              <w:rPr>
                <w:rFonts w:hint="eastAsia" w:ascii="仿宋" w:hAnsi="仿宋" w:eastAsia="仿宋" w:cs="Times New Roman"/>
                <w:color w:val="000000"/>
                <w:sz w:val="24"/>
                <w:lang w:eastAsia="zh-CN"/>
              </w:rPr>
              <w:t>定期维护（一）</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sz w:val="24"/>
              </w:rPr>
              <w:t>主要内容是</w:t>
            </w:r>
            <w:r>
              <w:rPr>
                <w:rFonts w:hint="eastAsia" w:ascii="仿宋" w:hAnsi="仿宋" w:eastAsia="仿宋" w:cs="仿宋"/>
                <w:sz w:val="24"/>
                <w:lang w:eastAsia="zh-CN"/>
              </w:rPr>
              <w:t>了解汽车参数知识，保养周期，能熟练拆卸、装配配件方法。</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54</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2</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汽车发动机机械维修</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sz w:val="24"/>
              </w:rPr>
              <w:t>主要内容是发动机的基本认识、掌握气缸盖和配气机构的检修、气缸体和曲柄连杆机构检修、冷却系统的检修、润滑系统的检修</w:t>
            </w:r>
            <w:r>
              <w:rPr>
                <w:rFonts w:hint="eastAsia" w:ascii="仿宋" w:hAnsi="仿宋" w:eastAsia="仿宋" w:cs="仿宋"/>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72</w:t>
            </w:r>
          </w:p>
        </w:tc>
        <w:tc>
          <w:tcPr>
            <w:tcW w:w="818"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3</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汽车传动系统维修</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sz w:val="24"/>
              </w:rPr>
              <w:t>主要内容是离合器踏板位置的检查与调整、离合器打滑的检修、离合器油的检查与更换、手动变速器油的检查与更换、手动变速器挂档困难的检修、传动轴（后轮驱动）抖动和异响的检修、传动轴（前轮驱动及万向节的检修与更换）、驱动桥（前轮驱动）异响的检修和驱动桥（后轮驱动）过热的检修</w:t>
            </w:r>
            <w:r>
              <w:rPr>
                <w:rFonts w:hint="eastAsia" w:ascii="仿宋" w:hAnsi="仿宋" w:eastAsia="仿宋" w:cs="仿宋"/>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72</w:t>
            </w:r>
          </w:p>
        </w:tc>
        <w:tc>
          <w:tcPr>
            <w:tcW w:w="818"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4</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汽车悬挂、转向与制动系统维修</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sz w:val="24"/>
              </w:rPr>
              <w:t>主要内容是汽车悬挂系统、转向系统、制动系统的故障诊断排除、调整和更换</w:t>
            </w:r>
            <w:r>
              <w:rPr>
                <w:rFonts w:hint="eastAsia" w:ascii="仿宋" w:hAnsi="仿宋" w:eastAsia="仿宋" w:cs="仿宋"/>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72</w:t>
            </w:r>
          </w:p>
        </w:tc>
        <w:tc>
          <w:tcPr>
            <w:tcW w:w="818"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5</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汽车发动机电器与控制系统检修</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kern w:val="0"/>
                <w:sz w:val="24"/>
              </w:rPr>
              <w:t>主要内容是</w:t>
            </w:r>
            <w:r>
              <w:rPr>
                <w:rFonts w:hint="eastAsia" w:ascii="仿宋" w:hAnsi="仿宋" w:eastAsia="仿宋" w:cs="仿宋"/>
                <w:sz w:val="24"/>
              </w:rPr>
              <w:t>掌握蓄电池、发电机、起动机等发动机电器的结构和 工作原理；掌握电控发动机供油、点火、进排气、控制 等系统的结构和工作原理；能运用汽车检测设备检测发动机电器与控制系统的零部件，能排除发动机电器与控 制系统简易故障</w:t>
            </w:r>
            <w:r>
              <w:rPr>
                <w:rFonts w:hint="eastAsia" w:ascii="仿宋" w:hAnsi="仿宋" w:eastAsia="仿宋" w:cs="仿宋"/>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72</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6</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汽车车身电气设备检修</w:t>
            </w:r>
          </w:p>
        </w:tc>
        <w:tc>
          <w:tcPr>
            <w:tcW w:w="5409"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主要内容是汽车照明信号系统、报警装置、汽车仪表、音响等电器设备线路故障诊断、检修及排除</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90</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汽车空调系统检修</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sz w:val="24"/>
              </w:rPr>
              <w:t>主要内容是汽车空调系统的基本认识以及空调系统故障诊断、检修及排除</w:t>
            </w:r>
            <w:r>
              <w:rPr>
                <w:rFonts w:hint="eastAsia" w:ascii="仿宋" w:hAnsi="仿宋" w:eastAsia="仿宋" w:cs="仿宋"/>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72</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8</w:t>
            </w:r>
          </w:p>
        </w:tc>
        <w:tc>
          <w:tcPr>
            <w:tcW w:w="1564" w:type="dxa"/>
            <w:noWrap w:val="0"/>
            <w:vAlign w:val="center"/>
          </w:tcPr>
          <w:p>
            <w:pPr>
              <w:jc w:val="center"/>
              <w:rPr>
                <w:rFonts w:hint="eastAsia" w:ascii="仿宋" w:hAnsi="仿宋" w:eastAsia="仿宋" w:cs="Times New Roman"/>
                <w:color w:val="000000"/>
                <w:sz w:val="24"/>
              </w:rPr>
            </w:pPr>
            <w:r>
              <w:rPr>
                <w:rFonts w:hint="eastAsia" w:ascii="仿宋" w:hAnsi="仿宋" w:eastAsia="仿宋" w:cs="Times New Roman"/>
                <w:color w:val="000000"/>
                <w:sz w:val="24"/>
                <w:lang w:eastAsia="zh-CN"/>
              </w:rPr>
              <w:t>定期维护（二）</w:t>
            </w:r>
          </w:p>
        </w:tc>
        <w:tc>
          <w:tcPr>
            <w:tcW w:w="5409"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eastAsia="zh-CN"/>
              </w:rPr>
              <w:t>主要内容是以汽车进行</w:t>
            </w:r>
            <w:r>
              <w:rPr>
                <w:rFonts w:hint="eastAsia" w:ascii="仿宋" w:hAnsi="仿宋" w:eastAsia="仿宋" w:cs="仿宋"/>
                <w:sz w:val="24"/>
                <w:lang w:val="en-US" w:eastAsia="zh-CN"/>
              </w:rPr>
              <w:t>4万公里维护作业内容为基础，主要包括预检、车辆前部的检查、发动机机油及传动带检查等。</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54</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0" w:type="dxa"/>
            <w:gridSpan w:val="3"/>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合计</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558</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31</w:t>
            </w:r>
          </w:p>
        </w:tc>
      </w:tr>
    </w:tbl>
    <w:p>
      <w:pPr>
        <w:numPr>
          <w:ilvl w:val="0"/>
          <w:numId w:val="0"/>
        </w:numPr>
        <w:spacing w:line="480" w:lineRule="exact"/>
        <w:ind w:left="567" w:leftChars="0"/>
        <w:rPr>
          <w:rFonts w:hint="eastAsia" w:ascii="仿宋" w:hAnsi="仿宋" w:eastAsia="仿宋" w:cs="仿宋"/>
          <w:b/>
          <w:kern w:val="2"/>
          <w:sz w:val="28"/>
          <w:szCs w:val="22"/>
          <w:lang w:val="en-US" w:eastAsia="zh-CN" w:bidi="ar-SA"/>
        </w:rPr>
      </w:pPr>
    </w:p>
    <w:p>
      <w:pPr>
        <w:numPr>
          <w:ilvl w:val="0"/>
          <w:numId w:val="4"/>
        </w:numPr>
        <w:spacing w:line="480" w:lineRule="exact"/>
        <w:ind w:left="987" w:hanging="420"/>
        <w:rPr>
          <w:rFonts w:hint="eastAsia" w:ascii="仿宋" w:hAnsi="仿宋" w:eastAsia="仿宋" w:cs="仿宋"/>
          <w:bCs/>
          <w:sz w:val="28"/>
          <w:szCs w:val="32"/>
        </w:rPr>
      </w:pPr>
      <w:r>
        <w:rPr>
          <w:rFonts w:hint="eastAsia" w:ascii="仿宋" w:hAnsi="仿宋" w:eastAsia="仿宋" w:cs="仿宋"/>
          <w:b/>
          <w:kern w:val="2"/>
          <w:sz w:val="28"/>
          <w:szCs w:val="22"/>
          <w:lang w:val="en-US" w:eastAsia="zh-CN" w:bidi="ar-SA"/>
        </w:rPr>
        <w:t>专业拓展课程内容及要求</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center"/>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b w:val="0"/>
          <w:bCs w:val="0"/>
          <w:color w:val="auto"/>
          <w:sz w:val="24"/>
          <w:szCs w:val="24"/>
          <w:lang w:val="en-US" w:eastAsia="zh-CN"/>
        </w:rPr>
        <w:t>表8：</w:t>
      </w:r>
      <w:r>
        <w:rPr>
          <w:rFonts w:hint="eastAsia" w:ascii="仿宋" w:hAnsi="仿宋" w:eastAsia="仿宋" w:cs="仿宋"/>
          <w:color w:val="auto"/>
          <w:sz w:val="24"/>
          <w:szCs w:val="24"/>
          <w:lang w:val="en-US" w:eastAsia="zh-CN"/>
        </w:rPr>
        <w:t>专业拓展课程教学内容及要求</w:t>
      </w:r>
    </w:p>
    <w:tbl>
      <w:tblPr>
        <w:tblStyle w:val="10"/>
        <w:tblW w:w="94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586"/>
        <w:gridCol w:w="5389"/>
        <w:gridCol w:w="851"/>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序号</w:t>
            </w:r>
          </w:p>
        </w:tc>
        <w:tc>
          <w:tcPr>
            <w:tcW w:w="1586"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课程名称</w:t>
            </w:r>
          </w:p>
        </w:tc>
        <w:tc>
          <w:tcPr>
            <w:tcW w:w="5389"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主要教学内容和要求</w:t>
            </w:r>
          </w:p>
        </w:tc>
        <w:tc>
          <w:tcPr>
            <w:tcW w:w="851"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学时</w:t>
            </w:r>
          </w:p>
        </w:tc>
        <w:tc>
          <w:tcPr>
            <w:tcW w:w="851"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1</w:t>
            </w:r>
          </w:p>
        </w:tc>
        <w:tc>
          <w:tcPr>
            <w:tcW w:w="1586" w:type="dxa"/>
            <w:noWrap w:val="0"/>
            <w:vAlign w:val="center"/>
          </w:tcPr>
          <w:p>
            <w:pPr>
              <w:jc w:val="center"/>
              <w:rPr>
                <w:rFonts w:hint="eastAsia" w:ascii="仿宋" w:hAnsi="仿宋" w:eastAsia="仿宋" w:cs="宋体"/>
                <w:color w:val="000000"/>
                <w:sz w:val="24"/>
                <w:lang w:eastAsia="zh-CN"/>
              </w:rPr>
            </w:pPr>
            <w:r>
              <w:rPr>
                <w:rFonts w:hint="eastAsia" w:ascii="仿宋" w:hAnsi="仿宋" w:eastAsia="仿宋" w:cs="Times New Roman"/>
                <w:color w:val="000000"/>
                <w:sz w:val="24"/>
              </w:rPr>
              <w:t>汽车配件</w:t>
            </w:r>
            <w:r>
              <w:rPr>
                <w:rFonts w:hint="eastAsia" w:ascii="仿宋" w:hAnsi="仿宋" w:eastAsia="仿宋" w:cs="Times New Roman"/>
                <w:color w:val="000000"/>
                <w:sz w:val="24"/>
                <w:lang w:eastAsia="zh-CN"/>
              </w:rPr>
              <w:t>营销</w:t>
            </w:r>
          </w:p>
        </w:tc>
        <w:tc>
          <w:tcPr>
            <w:tcW w:w="5389"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eastAsia="zh-CN"/>
              </w:rPr>
              <w:t>主要内容包括汽车配件相关常识、汽车配件目标市场营销与策略、汽车配件目标市场营销与策略等。</w:t>
            </w:r>
          </w:p>
        </w:tc>
        <w:tc>
          <w:tcPr>
            <w:tcW w:w="851"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126</w:t>
            </w:r>
          </w:p>
        </w:tc>
        <w:tc>
          <w:tcPr>
            <w:tcW w:w="851"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2</w:t>
            </w:r>
          </w:p>
        </w:tc>
        <w:tc>
          <w:tcPr>
            <w:tcW w:w="1586" w:type="dxa"/>
            <w:noWrap w:val="0"/>
            <w:vAlign w:val="center"/>
          </w:tcPr>
          <w:p>
            <w:pPr>
              <w:jc w:val="center"/>
              <w:rPr>
                <w:rFonts w:hint="eastAsia" w:ascii="仿宋" w:hAnsi="仿宋" w:eastAsia="仿宋" w:cs="仿宋"/>
                <w:sz w:val="24"/>
              </w:rPr>
            </w:pPr>
            <w:r>
              <w:rPr>
                <w:rFonts w:hint="eastAsia" w:ascii="仿宋" w:hAnsi="仿宋" w:eastAsia="仿宋" w:cs="Times New Roman"/>
                <w:color w:val="000000"/>
                <w:sz w:val="24"/>
              </w:rPr>
              <w:t>汽车营销实务</w:t>
            </w:r>
          </w:p>
        </w:tc>
        <w:tc>
          <w:tcPr>
            <w:tcW w:w="5389" w:type="dxa"/>
            <w:noWrap w:val="0"/>
            <w:vAlign w:val="center"/>
          </w:tcPr>
          <w:p>
            <w:pPr>
              <w:spacing w:line="480" w:lineRule="exact"/>
              <w:jc w:val="both"/>
              <w:rPr>
                <w:rFonts w:hint="eastAsia" w:ascii="仿宋" w:hAnsi="仿宋" w:eastAsia="仿宋" w:cs="仿宋"/>
                <w:sz w:val="24"/>
                <w:lang w:val="en-US" w:eastAsia="zh-CN"/>
              </w:rPr>
            </w:pPr>
            <w:r>
              <w:rPr>
                <w:rFonts w:hint="eastAsia" w:ascii="仿宋" w:hAnsi="仿宋" w:eastAsia="仿宋" w:cs="仿宋"/>
                <w:sz w:val="24"/>
                <w:lang w:val="en-US" w:eastAsia="zh-CN"/>
              </w:rPr>
              <w:t>主要内容介绍了展厅接待、顾客分析、车辆展示与介绍、促成交易、交车服务和售后跟踪服务等汽车营销流程及有相关汽车保险、汽车美容等汽车营销的延伸服务知识和具体流程。</w:t>
            </w:r>
          </w:p>
        </w:tc>
        <w:tc>
          <w:tcPr>
            <w:tcW w:w="851"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126</w:t>
            </w:r>
          </w:p>
        </w:tc>
        <w:tc>
          <w:tcPr>
            <w:tcW w:w="851"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3</w:t>
            </w:r>
          </w:p>
        </w:tc>
        <w:tc>
          <w:tcPr>
            <w:tcW w:w="1586"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sz w:val="24"/>
                <w:highlight w:val="none"/>
                <w:lang w:eastAsia="zh-CN"/>
              </w:rPr>
              <w:t>汽车美容与装潢</w:t>
            </w:r>
          </w:p>
        </w:tc>
        <w:tc>
          <w:tcPr>
            <w:tcW w:w="5389" w:type="dxa"/>
            <w:noWrap w:val="0"/>
            <w:vAlign w:val="center"/>
          </w:tcPr>
          <w:p>
            <w:pPr>
              <w:spacing w:line="480" w:lineRule="exact"/>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主要内容包括汽车内外饰概述、汽车座垫与真皮座椅、汽车内饰电器、汽车音响、汽车外饰和汽车装潢等有关知识。</w:t>
            </w:r>
          </w:p>
          <w:p>
            <w:pPr>
              <w:spacing w:line="480" w:lineRule="exact"/>
              <w:jc w:val="both"/>
              <w:rPr>
                <w:rFonts w:hint="eastAsia" w:ascii="仿宋" w:hAnsi="仿宋" w:eastAsia="仿宋" w:cs="仿宋"/>
                <w:sz w:val="24"/>
              </w:rPr>
            </w:pPr>
          </w:p>
        </w:tc>
        <w:tc>
          <w:tcPr>
            <w:tcW w:w="851"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126</w:t>
            </w:r>
          </w:p>
        </w:tc>
        <w:tc>
          <w:tcPr>
            <w:tcW w:w="851"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4</w:t>
            </w:r>
          </w:p>
        </w:tc>
        <w:tc>
          <w:tcPr>
            <w:tcW w:w="1586"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sz w:val="24"/>
                <w:lang w:eastAsia="zh-CN"/>
              </w:rPr>
              <w:t>心理健康</w:t>
            </w:r>
          </w:p>
        </w:tc>
        <w:tc>
          <w:tcPr>
            <w:tcW w:w="5389" w:type="dxa"/>
            <w:noWrap w:val="0"/>
            <w:vAlign w:val="center"/>
          </w:tcPr>
          <w:p>
            <w:pPr>
              <w:spacing w:line="480" w:lineRule="exact"/>
              <w:jc w:val="center"/>
              <w:rPr>
                <w:rFonts w:hint="default" w:ascii="仿宋" w:hAnsi="仿宋" w:eastAsia="仿宋" w:cs="仿宋"/>
                <w:color w:val="FF0000"/>
                <w:sz w:val="24"/>
                <w:lang w:val="en-US" w:eastAsia="zh-CN"/>
              </w:rPr>
            </w:pPr>
            <w:r>
              <w:rPr>
                <w:rFonts w:hint="eastAsia" w:ascii="仿宋" w:hAnsi="仿宋" w:eastAsia="仿宋" w:cs="仿宋"/>
                <w:sz w:val="24"/>
                <w:lang w:val="en-US" w:eastAsia="zh-CN"/>
              </w:rPr>
              <w:t>主要内容包括普及心理健康基本知识、树立心理健康意识、了解简单的心理调节方法等。</w:t>
            </w:r>
          </w:p>
        </w:tc>
        <w:tc>
          <w:tcPr>
            <w:tcW w:w="851"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126</w:t>
            </w:r>
          </w:p>
        </w:tc>
        <w:tc>
          <w:tcPr>
            <w:tcW w:w="851"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7" w:type="dxa"/>
            <w:gridSpan w:val="3"/>
            <w:noWrap w:val="0"/>
            <w:vAlign w:val="center"/>
          </w:tcPr>
          <w:p>
            <w:pPr>
              <w:spacing w:line="480" w:lineRule="exact"/>
              <w:jc w:val="center"/>
              <w:rPr>
                <w:rFonts w:hint="eastAsia" w:ascii="仿宋" w:hAnsi="仿宋" w:eastAsia="仿宋" w:cs="仿宋"/>
                <w:kern w:val="2"/>
                <w:sz w:val="24"/>
                <w:szCs w:val="24"/>
                <w:lang w:val="en-US" w:eastAsia="zh-CN" w:bidi="ar-SA"/>
              </w:rPr>
            </w:pPr>
            <w:r>
              <w:rPr>
                <w:rFonts w:hint="eastAsia" w:ascii="仿宋" w:hAnsi="仿宋" w:eastAsia="仿宋" w:cs="仿宋"/>
                <w:sz w:val="24"/>
              </w:rPr>
              <w:t>合计</w:t>
            </w:r>
            <w:r>
              <w:rPr>
                <w:rFonts w:hint="eastAsia" w:ascii="仿宋" w:hAnsi="仿宋" w:eastAsia="仿宋" w:cs="仿宋"/>
                <w:sz w:val="24"/>
                <w:lang w:eastAsia="zh-CN"/>
              </w:rPr>
              <w:t>（</w:t>
            </w:r>
            <w:r>
              <w:rPr>
                <w:rFonts w:hint="eastAsia" w:ascii="仿宋" w:hAnsi="仿宋" w:eastAsia="仿宋" w:cs="仿宋"/>
                <w:sz w:val="24"/>
                <w:lang w:val="en-US" w:eastAsia="zh-CN"/>
              </w:rPr>
              <w:t>4选3</w:t>
            </w:r>
            <w:r>
              <w:rPr>
                <w:rFonts w:hint="eastAsia" w:ascii="仿宋" w:hAnsi="仿宋" w:eastAsia="仿宋" w:cs="仿宋"/>
                <w:sz w:val="24"/>
                <w:lang w:eastAsia="zh-CN"/>
              </w:rPr>
              <w:t>）</w:t>
            </w:r>
          </w:p>
        </w:tc>
        <w:tc>
          <w:tcPr>
            <w:tcW w:w="851" w:type="dxa"/>
            <w:noWrap w:val="0"/>
            <w:vAlign w:val="center"/>
          </w:tcPr>
          <w:p>
            <w:pPr>
              <w:spacing w:line="480" w:lineRule="exact"/>
              <w:jc w:val="center"/>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378</w:t>
            </w:r>
          </w:p>
        </w:tc>
        <w:tc>
          <w:tcPr>
            <w:tcW w:w="851"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21</w:t>
            </w:r>
          </w:p>
        </w:tc>
      </w:tr>
    </w:tbl>
    <w:p>
      <w:pPr>
        <w:numPr>
          <w:ilvl w:val="0"/>
          <w:numId w:val="4"/>
        </w:numPr>
        <w:spacing w:line="480" w:lineRule="exact"/>
        <w:ind w:left="987" w:hanging="420"/>
        <w:rPr>
          <w:rFonts w:hint="eastAsia" w:ascii="仿宋" w:hAnsi="仿宋" w:eastAsia="仿宋" w:cs="仿宋"/>
          <w:b/>
          <w:kern w:val="2"/>
          <w:sz w:val="28"/>
          <w:szCs w:val="22"/>
          <w:lang w:val="en-US" w:eastAsia="zh-CN" w:bidi="ar-SA"/>
        </w:rPr>
      </w:pPr>
      <w:r>
        <w:rPr>
          <w:rFonts w:hint="eastAsia" w:ascii="仿宋" w:hAnsi="仿宋" w:eastAsia="仿宋" w:cs="仿宋"/>
          <w:b/>
          <w:kern w:val="2"/>
          <w:sz w:val="28"/>
          <w:szCs w:val="22"/>
          <w:lang w:val="en-US" w:eastAsia="zh-CN" w:bidi="ar-SA"/>
        </w:rPr>
        <w:t>专业方向课程课程内容及要求</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center"/>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b w:val="0"/>
          <w:bCs w:val="0"/>
          <w:color w:val="auto"/>
          <w:sz w:val="24"/>
          <w:szCs w:val="24"/>
          <w:lang w:val="en-US" w:eastAsia="zh-CN"/>
        </w:rPr>
        <w:t>表9：</w:t>
      </w:r>
      <w:r>
        <w:rPr>
          <w:rFonts w:hint="eastAsia" w:ascii="仿宋" w:hAnsi="仿宋" w:eastAsia="仿宋" w:cs="仿宋"/>
          <w:color w:val="auto"/>
          <w:sz w:val="24"/>
          <w:szCs w:val="24"/>
          <w:lang w:val="en-US" w:eastAsia="zh-CN"/>
        </w:rPr>
        <w:t>专业方向课教学内容及要求</w:t>
      </w:r>
    </w:p>
    <w:tbl>
      <w:tblPr>
        <w:tblStyle w:val="10"/>
        <w:tblW w:w="94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732"/>
        <w:gridCol w:w="5168"/>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noWrap w:val="0"/>
            <w:vAlign w:val="center"/>
          </w:tcPr>
          <w:p>
            <w:pPr>
              <w:spacing w:line="360" w:lineRule="exact"/>
              <w:jc w:val="center"/>
              <w:rPr>
                <w:rFonts w:hint="eastAsia" w:ascii="仿宋" w:hAnsi="仿宋" w:eastAsia="仿宋" w:cs="仿宋"/>
                <w:sz w:val="24"/>
              </w:rPr>
            </w:pPr>
            <w:r>
              <w:rPr>
                <w:rFonts w:hint="eastAsia" w:ascii="仿宋" w:hAnsi="仿宋" w:eastAsia="仿宋" w:cs="仿宋"/>
                <w:sz w:val="24"/>
              </w:rPr>
              <w:t>序号</w:t>
            </w:r>
          </w:p>
        </w:tc>
        <w:tc>
          <w:tcPr>
            <w:tcW w:w="1732" w:type="dxa"/>
            <w:noWrap w:val="0"/>
            <w:vAlign w:val="center"/>
          </w:tcPr>
          <w:p>
            <w:pPr>
              <w:spacing w:line="360" w:lineRule="exact"/>
              <w:jc w:val="center"/>
              <w:rPr>
                <w:rFonts w:hint="eastAsia" w:ascii="仿宋" w:hAnsi="仿宋" w:eastAsia="仿宋" w:cs="仿宋"/>
                <w:sz w:val="24"/>
              </w:rPr>
            </w:pPr>
            <w:r>
              <w:rPr>
                <w:rFonts w:hint="eastAsia" w:ascii="仿宋" w:hAnsi="仿宋" w:eastAsia="仿宋" w:cs="仿宋"/>
                <w:sz w:val="24"/>
              </w:rPr>
              <w:t>课程名称</w:t>
            </w:r>
          </w:p>
        </w:tc>
        <w:tc>
          <w:tcPr>
            <w:tcW w:w="5168" w:type="dxa"/>
            <w:noWrap w:val="0"/>
            <w:vAlign w:val="center"/>
          </w:tcPr>
          <w:p>
            <w:pPr>
              <w:spacing w:line="360" w:lineRule="exact"/>
              <w:jc w:val="center"/>
              <w:rPr>
                <w:rFonts w:hint="eastAsia" w:ascii="仿宋" w:hAnsi="仿宋" w:eastAsia="仿宋" w:cs="仿宋"/>
                <w:sz w:val="24"/>
              </w:rPr>
            </w:pPr>
            <w:r>
              <w:rPr>
                <w:rFonts w:hint="eastAsia" w:ascii="仿宋" w:hAnsi="仿宋" w:eastAsia="仿宋" w:cs="仿宋"/>
                <w:sz w:val="24"/>
              </w:rPr>
              <w:t>主要教学内容和要求</w:t>
            </w:r>
          </w:p>
        </w:tc>
        <w:tc>
          <w:tcPr>
            <w:tcW w:w="879" w:type="dxa"/>
            <w:noWrap w:val="0"/>
            <w:vAlign w:val="center"/>
          </w:tcPr>
          <w:p>
            <w:pPr>
              <w:spacing w:line="360" w:lineRule="exact"/>
              <w:jc w:val="center"/>
              <w:rPr>
                <w:rFonts w:hint="eastAsia" w:ascii="仿宋" w:hAnsi="仿宋" w:eastAsia="仿宋" w:cs="仿宋"/>
                <w:sz w:val="24"/>
              </w:rPr>
            </w:pPr>
            <w:r>
              <w:rPr>
                <w:rFonts w:hint="eastAsia" w:ascii="仿宋" w:hAnsi="仿宋" w:eastAsia="仿宋" w:cs="仿宋"/>
                <w:sz w:val="24"/>
              </w:rPr>
              <w:t>学时</w:t>
            </w:r>
          </w:p>
        </w:tc>
        <w:tc>
          <w:tcPr>
            <w:tcW w:w="879" w:type="dxa"/>
            <w:noWrap w:val="0"/>
            <w:vAlign w:val="center"/>
          </w:tcPr>
          <w:p>
            <w:pPr>
              <w:spacing w:line="36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noWrap w:val="0"/>
            <w:vAlign w:val="center"/>
          </w:tcPr>
          <w:p>
            <w:pPr>
              <w:spacing w:line="360" w:lineRule="exact"/>
              <w:jc w:val="center"/>
              <w:rPr>
                <w:rFonts w:hint="eastAsia" w:ascii="仿宋" w:hAnsi="仿宋" w:eastAsia="仿宋" w:cs="仿宋"/>
                <w:sz w:val="24"/>
              </w:rPr>
            </w:pPr>
            <w:r>
              <w:rPr>
                <w:rFonts w:hint="eastAsia" w:ascii="仿宋" w:hAnsi="仿宋" w:eastAsia="仿宋" w:cs="仿宋"/>
                <w:sz w:val="24"/>
              </w:rPr>
              <w:t>方向1汽车机修</w:t>
            </w:r>
          </w:p>
        </w:tc>
        <w:tc>
          <w:tcPr>
            <w:tcW w:w="1732" w:type="dxa"/>
            <w:noWrap w:val="0"/>
            <w:vAlign w:val="center"/>
          </w:tcPr>
          <w:p>
            <w:pPr>
              <w:jc w:val="center"/>
              <w:rPr>
                <w:rFonts w:ascii="仿宋" w:hAnsi="仿宋" w:eastAsia="仿宋" w:cs="宋体"/>
                <w:color w:val="000000"/>
                <w:sz w:val="24"/>
              </w:rPr>
            </w:pPr>
            <w:r>
              <w:rPr>
                <w:rFonts w:hint="eastAsia" w:ascii="仿宋" w:hAnsi="仿宋" w:eastAsia="仿宋" w:cs="Times New Roman"/>
                <w:color w:val="000000"/>
                <w:sz w:val="24"/>
              </w:rPr>
              <w:t>1.汽车发动机及底盘常见故障的诊断与排除</w:t>
            </w:r>
          </w:p>
          <w:p>
            <w:pPr>
              <w:jc w:val="center"/>
              <w:rPr>
                <w:rFonts w:hint="eastAsia" w:ascii="仿宋" w:hAnsi="仿宋" w:eastAsia="仿宋" w:cs="宋体"/>
                <w:color w:val="000000"/>
                <w:sz w:val="24"/>
              </w:rPr>
            </w:pPr>
            <w:r>
              <w:rPr>
                <w:rFonts w:hint="eastAsia" w:ascii="仿宋" w:hAnsi="仿宋" w:eastAsia="仿宋" w:cs="Times New Roman"/>
                <w:color w:val="000000"/>
                <w:sz w:val="24"/>
              </w:rPr>
              <w:t>2.汽车自动变速器维修</w:t>
            </w:r>
          </w:p>
        </w:tc>
        <w:tc>
          <w:tcPr>
            <w:tcW w:w="5168" w:type="dxa"/>
            <w:noWrap w:val="0"/>
            <w:vAlign w:val="center"/>
          </w:tcPr>
          <w:p>
            <w:pPr>
              <w:spacing w:line="360" w:lineRule="exact"/>
              <w:jc w:val="center"/>
              <w:rPr>
                <w:rFonts w:hint="eastAsia" w:ascii="仿宋" w:hAnsi="仿宋" w:eastAsia="仿宋" w:cs="仿宋"/>
                <w:sz w:val="24"/>
                <w:lang w:eastAsia="zh-CN"/>
              </w:rPr>
            </w:pPr>
            <w:r>
              <w:rPr>
                <w:rFonts w:hint="eastAsia" w:ascii="仿宋" w:hAnsi="仿宋" w:eastAsia="仿宋" w:cs="仿宋"/>
                <w:sz w:val="24"/>
              </w:rPr>
              <w:t>了解汽车底盘各系统、总成和部件的结构、功用，掌 握底盘维护的基础知识，能够拆卸、装配汽车底盘各总成；了解发动机的结构和工作原理，掌握发动机维护的基 础知识，能够拆卸、装配发动机</w:t>
            </w:r>
            <w:r>
              <w:rPr>
                <w:rFonts w:hint="eastAsia" w:ascii="仿宋" w:hAnsi="仿宋" w:eastAsia="仿宋" w:cs="仿宋"/>
                <w:sz w:val="24"/>
                <w:lang w:eastAsia="zh-CN"/>
              </w:rPr>
              <w:t>。</w:t>
            </w:r>
          </w:p>
        </w:tc>
        <w:tc>
          <w:tcPr>
            <w:tcW w:w="879" w:type="dxa"/>
            <w:noWrap w:val="0"/>
            <w:vAlign w:val="center"/>
          </w:tcPr>
          <w:p>
            <w:pPr>
              <w:spacing w:line="36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144</w:t>
            </w:r>
          </w:p>
        </w:tc>
        <w:tc>
          <w:tcPr>
            <w:tcW w:w="879" w:type="dxa"/>
            <w:noWrap w:val="0"/>
            <w:vAlign w:val="center"/>
          </w:tcPr>
          <w:p>
            <w:pPr>
              <w:spacing w:line="36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noWrap w:val="0"/>
            <w:vAlign w:val="center"/>
          </w:tcPr>
          <w:p>
            <w:pPr>
              <w:spacing w:line="360" w:lineRule="exact"/>
              <w:jc w:val="center"/>
              <w:rPr>
                <w:rFonts w:hint="eastAsia" w:ascii="仿宋" w:hAnsi="仿宋" w:eastAsia="仿宋" w:cs="仿宋"/>
                <w:sz w:val="24"/>
              </w:rPr>
            </w:pPr>
            <w:r>
              <w:rPr>
                <w:rFonts w:hint="eastAsia" w:ascii="仿宋" w:hAnsi="仿宋" w:eastAsia="仿宋" w:cs="仿宋"/>
                <w:sz w:val="24"/>
              </w:rPr>
              <w:t>方向2汽车性能检测</w:t>
            </w:r>
          </w:p>
        </w:tc>
        <w:tc>
          <w:tcPr>
            <w:tcW w:w="1732" w:type="dxa"/>
            <w:noWrap w:val="0"/>
            <w:vAlign w:val="center"/>
          </w:tcPr>
          <w:p>
            <w:pPr>
              <w:jc w:val="center"/>
              <w:rPr>
                <w:rFonts w:ascii="仿宋" w:hAnsi="仿宋" w:eastAsia="仿宋" w:cs="宋体"/>
                <w:color w:val="000000"/>
                <w:sz w:val="24"/>
              </w:rPr>
            </w:pPr>
            <w:r>
              <w:rPr>
                <w:rFonts w:hint="eastAsia" w:ascii="仿宋" w:hAnsi="仿宋" w:eastAsia="仿宋" w:cs="Times New Roman"/>
                <w:color w:val="000000"/>
                <w:sz w:val="24"/>
              </w:rPr>
              <w:t>1.汽车检测与诊断技术</w:t>
            </w:r>
          </w:p>
          <w:p>
            <w:pPr>
              <w:jc w:val="center"/>
              <w:rPr>
                <w:rFonts w:hint="eastAsia" w:ascii="仿宋" w:hAnsi="仿宋" w:eastAsia="仿宋" w:cs="宋体"/>
                <w:color w:val="000000"/>
                <w:sz w:val="24"/>
              </w:rPr>
            </w:pPr>
            <w:r>
              <w:rPr>
                <w:rFonts w:hint="eastAsia" w:ascii="仿宋" w:hAnsi="仿宋" w:eastAsia="仿宋" w:cs="Times New Roman"/>
                <w:color w:val="000000"/>
                <w:sz w:val="24"/>
              </w:rPr>
              <w:t>2.汽车检测设备的使用与维护</w:t>
            </w:r>
          </w:p>
        </w:tc>
        <w:tc>
          <w:tcPr>
            <w:tcW w:w="5168" w:type="dxa"/>
            <w:noWrap w:val="0"/>
            <w:vAlign w:val="center"/>
          </w:tcPr>
          <w:p>
            <w:pPr>
              <w:spacing w:line="360" w:lineRule="exact"/>
              <w:jc w:val="center"/>
              <w:rPr>
                <w:rFonts w:hint="eastAsia" w:ascii="仿宋" w:hAnsi="仿宋" w:eastAsia="仿宋" w:cs="仿宋"/>
                <w:sz w:val="24"/>
                <w:lang w:eastAsia="zh-CN"/>
              </w:rPr>
            </w:pPr>
            <w:r>
              <w:rPr>
                <w:rFonts w:hint="eastAsia" w:ascii="仿宋" w:hAnsi="仿宋" w:eastAsia="仿宋" w:cs="仿宋"/>
                <w:sz w:val="24"/>
              </w:rPr>
              <w:t>主要内容是对车辆动力性、经济性、安全性、环保性等方面进行检测，且使用专用仪器对故障车辆性能进行检查、测试，判断出故障原因与故障点，并确定出排除故障方法的过程</w:t>
            </w:r>
            <w:r>
              <w:rPr>
                <w:rFonts w:hint="eastAsia" w:ascii="仿宋" w:hAnsi="仿宋" w:eastAsia="仿宋" w:cs="仿宋"/>
                <w:sz w:val="24"/>
                <w:lang w:eastAsia="zh-CN"/>
              </w:rPr>
              <w:t>。</w:t>
            </w:r>
          </w:p>
        </w:tc>
        <w:tc>
          <w:tcPr>
            <w:tcW w:w="879" w:type="dxa"/>
            <w:noWrap w:val="0"/>
            <w:vAlign w:val="center"/>
          </w:tcPr>
          <w:p>
            <w:pPr>
              <w:spacing w:line="36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144</w:t>
            </w:r>
          </w:p>
        </w:tc>
        <w:tc>
          <w:tcPr>
            <w:tcW w:w="879" w:type="dxa"/>
            <w:noWrap w:val="0"/>
            <w:vAlign w:val="center"/>
          </w:tcPr>
          <w:p>
            <w:pPr>
              <w:spacing w:line="36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noWrap w:val="0"/>
            <w:vAlign w:val="center"/>
          </w:tcPr>
          <w:p>
            <w:pPr>
              <w:spacing w:line="360" w:lineRule="exact"/>
              <w:jc w:val="center"/>
              <w:rPr>
                <w:rFonts w:hint="eastAsia" w:ascii="仿宋" w:hAnsi="仿宋" w:eastAsia="仿宋" w:cs="仿宋"/>
                <w:sz w:val="24"/>
                <w:lang w:eastAsia="zh-CN"/>
              </w:rPr>
            </w:pPr>
            <w:r>
              <w:rPr>
                <w:rFonts w:hint="eastAsia" w:ascii="仿宋" w:hAnsi="仿宋" w:eastAsia="仿宋" w:cs="仿宋"/>
                <w:sz w:val="24"/>
              </w:rPr>
              <w:t>方向3汽车维修与</w:t>
            </w:r>
            <w:r>
              <w:rPr>
                <w:rFonts w:hint="eastAsia" w:ascii="仿宋" w:hAnsi="仿宋" w:eastAsia="仿宋" w:cs="仿宋"/>
                <w:sz w:val="24"/>
                <w:lang w:eastAsia="zh-CN"/>
              </w:rPr>
              <w:t>接待</w:t>
            </w:r>
          </w:p>
        </w:tc>
        <w:tc>
          <w:tcPr>
            <w:tcW w:w="1732" w:type="dxa"/>
            <w:noWrap w:val="0"/>
            <w:vAlign w:val="center"/>
          </w:tcPr>
          <w:p>
            <w:pPr>
              <w:jc w:val="center"/>
              <w:rPr>
                <w:rFonts w:ascii="仿宋" w:hAnsi="仿宋" w:eastAsia="仿宋" w:cs="宋体"/>
                <w:color w:val="000000"/>
                <w:sz w:val="24"/>
              </w:rPr>
            </w:pPr>
            <w:r>
              <w:rPr>
                <w:rFonts w:hint="eastAsia" w:ascii="仿宋" w:hAnsi="仿宋" w:eastAsia="仿宋" w:cs="Times New Roman"/>
                <w:color w:val="000000"/>
                <w:sz w:val="24"/>
              </w:rPr>
              <w:t>1.汽车维修接待实务</w:t>
            </w:r>
          </w:p>
          <w:p>
            <w:pPr>
              <w:jc w:val="center"/>
              <w:rPr>
                <w:rFonts w:hint="eastAsia" w:ascii="仿宋" w:hAnsi="仿宋" w:eastAsia="仿宋" w:cs="宋体"/>
                <w:color w:val="000000"/>
                <w:sz w:val="24"/>
              </w:rPr>
            </w:pPr>
            <w:r>
              <w:rPr>
                <w:rFonts w:hint="eastAsia" w:ascii="仿宋" w:hAnsi="仿宋" w:eastAsia="仿宋" w:cs="Times New Roman"/>
                <w:color w:val="000000"/>
                <w:sz w:val="24"/>
              </w:rPr>
              <w:t>2.汽车保险与理赔</w:t>
            </w:r>
          </w:p>
        </w:tc>
        <w:tc>
          <w:tcPr>
            <w:tcW w:w="5168" w:type="dxa"/>
            <w:noWrap w:val="0"/>
            <w:vAlign w:val="center"/>
          </w:tcPr>
          <w:p>
            <w:pPr>
              <w:spacing w:line="360" w:lineRule="exact"/>
              <w:jc w:val="center"/>
              <w:rPr>
                <w:rFonts w:hint="eastAsia" w:ascii="仿宋" w:hAnsi="仿宋" w:eastAsia="仿宋" w:cs="仿宋"/>
                <w:sz w:val="24"/>
                <w:lang w:eastAsia="zh-CN"/>
              </w:rPr>
            </w:pPr>
            <w:r>
              <w:rPr>
                <w:rFonts w:hint="eastAsia" w:ascii="仿宋" w:hAnsi="仿宋" w:eastAsia="仿宋" w:cs="仿宋"/>
                <w:sz w:val="24"/>
              </w:rPr>
              <w:t>主要内容是主要负责客户的接待，以及客户来电咨询的接听和解答，仔细问诊和安排好维修工作，做好维修人员和客户之间车辆信息的及时反馈</w:t>
            </w:r>
            <w:r>
              <w:rPr>
                <w:rFonts w:hint="eastAsia" w:ascii="仿宋" w:hAnsi="仿宋" w:eastAsia="仿宋" w:cs="仿宋"/>
                <w:sz w:val="24"/>
                <w:lang w:eastAsia="zh-CN"/>
              </w:rPr>
              <w:t>。</w:t>
            </w:r>
          </w:p>
        </w:tc>
        <w:tc>
          <w:tcPr>
            <w:tcW w:w="879" w:type="dxa"/>
            <w:noWrap w:val="0"/>
            <w:vAlign w:val="center"/>
          </w:tcPr>
          <w:p>
            <w:pPr>
              <w:spacing w:line="36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144</w:t>
            </w:r>
          </w:p>
        </w:tc>
        <w:tc>
          <w:tcPr>
            <w:tcW w:w="879" w:type="dxa"/>
            <w:noWrap w:val="0"/>
            <w:vAlign w:val="center"/>
          </w:tcPr>
          <w:p>
            <w:pPr>
              <w:spacing w:line="36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0" w:type="dxa"/>
            <w:gridSpan w:val="3"/>
            <w:noWrap w:val="0"/>
            <w:vAlign w:val="center"/>
          </w:tcPr>
          <w:p>
            <w:pPr>
              <w:spacing w:line="360" w:lineRule="exact"/>
              <w:jc w:val="center"/>
              <w:rPr>
                <w:rFonts w:hint="eastAsia" w:ascii="仿宋" w:hAnsi="仿宋" w:eastAsia="仿宋" w:cs="仿宋"/>
                <w:sz w:val="24"/>
              </w:rPr>
            </w:pPr>
            <w:r>
              <w:rPr>
                <w:rFonts w:hint="eastAsia" w:ascii="仿宋" w:hAnsi="仿宋" w:eastAsia="仿宋" w:cs="仿宋"/>
                <w:sz w:val="24"/>
                <w:lang w:eastAsia="zh-CN"/>
              </w:rPr>
              <w:t>三个方向选一个</w:t>
            </w:r>
            <w:r>
              <w:rPr>
                <w:rFonts w:hint="eastAsia" w:ascii="仿宋" w:hAnsi="仿宋" w:eastAsia="仿宋" w:cs="仿宋"/>
                <w:sz w:val="24"/>
                <w:lang w:val="en-US" w:eastAsia="zh-CN"/>
              </w:rPr>
              <w:t xml:space="preserve"> </w:t>
            </w:r>
            <w:r>
              <w:rPr>
                <w:rFonts w:hint="eastAsia" w:ascii="仿宋" w:hAnsi="仿宋" w:eastAsia="仿宋" w:cs="仿宋"/>
                <w:sz w:val="24"/>
              </w:rPr>
              <w:t>合计</w:t>
            </w:r>
          </w:p>
        </w:tc>
        <w:tc>
          <w:tcPr>
            <w:tcW w:w="879" w:type="dxa"/>
            <w:noWrap w:val="0"/>
            <w:vAlign w:val="center"/>
          </w:tcPr>
          <w:p>
            <w:pPr>
              <w:spacing w:line="36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144</w:t>
            </w:r>
          </w:p>
        </w:tc>
        <w:tc>
          <w:tcPr>
            <w:tcW w:w="879" w:type="dxa"/>
            <w:noWrap w:val="0"/>
            <w:vAlign w:val="center"/>
          </w:tcPr>
          <w:p>
            <w:pPr>
              <w:spacing w:line="36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8</w:t>
            </w:r>
          </w:p>
        </w:tc>
      </w:tr>
    </w:tbl>
    <w:p>
      <w:pPr>
        <w:pStyle w:val="4"/>
        <w:numPr>
          <w:ilvl w:val="0"/>
          <w:numId w:val="0"/>
        </w:numPr>
        <w:ind w:left="840" w:leftChars="0"/>
        <w:outlineLvl w:val="1"/>
        <w:rPr>
          <w:rFonts w:hint="eastAsia" w:ascii="仿宋" w:hAnsi="仿宋" w:eastAsia="仿宋" w:cs="仿宋"/>
          <w:b/>
          <w:sz w:val="28"/>
          <w:szCs w:val="22"/>
        </w:rPr>
      </w:pPr>
      <w:bookmarkStart w:id="75" w:name="_Toc14073"/>
      <w:bookmarkStart w:id="76" w:name="_Toc8463"/>
      <w:bookmarkStart w:id="77" w:name="_Toc18667"/>
      <w:bookmarkStart w:id="78" w:name="_Toc21519"/>
      <w:r>
        <w:rPr>
          <w:rFonts w:hint="eastAsia" w:ascii="仿宋" w:hAnsi="仿宋" w:eastAsia="仿宋" w:cs="仿宋"/>
          <w:b/>
          <w:sz w:val="28"/>
          <w:szCs w:val="22"/>
          <w:lang w:val="en-US" w:eastAsia="zh-CN"/>
        </w:rPr>
        <w:t>5.</w:t>
      </w:r>
      <w:bookmarkEnd w:id="75"/>
      <w:bookmarkEnd w:id="76"/>
      <w:bookmarkEnd w:id="77"/>
      <w:bookmarkEnd w:id="78"/>
      <w:r>
        <w:rPr>
          <w:rFonts w:hint="eastAsia" w:ascii="仿宋" w:hAnsi="仿宋" w:eastAsia="仿宋" w:cs="仿宋"/>
          <w:b/>
          <w:sz w:val="28"/>
          <w:szCs w:val="22"/>
          <w:lang w:val="en-US" w:eastAsia="zh-CN"/>
        </w:rPr>
        <w:t>实践性教学环节</w:t>
      </w:r>
    </w:p>
    <w:p>
      <w:pPr>
        <w:spacing w:line="6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w:t>
      </w:r>
      <w:r>
        <w:rPr>
          <w:rFonts w:hint="eastAsia" w:ascii="仿宋_GB2312" w:eastAsia="仿宋_GB2312"/>
          <w:color w:val="auto"/>
          <w:sz w:val="28"/>
          <w:szCs w:val="28"/>
          <w:lang w:val="en-US" w:eastAsia="zh-CN"/>
        </w:rPr>
        <w:t>1</w:t>
      </w:r>
      <w:r>
        <w:rPr>
          <w:rFonts w:hint="eastAsia" w:ascii="仿宋_GB2312" w:eastAsia="仿宋_GB2312"/>
          <w:color w:val="auto"/>
          <w:sz w:val="28"/>
          <w:szCs w:val="28"/>
          <w:lang w:eastAsia="zh-CN"/>
        </w:rPr>
        <w:t>）综合实训</w:t>
      </w:r>
    </w:p>
    <w:p>
      <w:pPr>
        <w:spacing w:line="6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综合实训主要内容为汽车维修中级工实训，</w:t>
      </w:r>
      <w:r>
        <w:rPr>
          <w:rFonts w:hint="eastAsia" w:ascii="仿宋_GB2312" w:eastAsia="仿宋_GB2312"/>
          <w:color w:val="auto"/>
          <w:sz w:val="28"/>
          <w:szCs w:val="28"/>
          <w:lang w:eastAsia="zh-CN"/>
        </w:rPr>
        <w:t>安排在</w:t>
      </w:r>
      <w:r>
        <w:rPr>
          <w:rFonts w:hint="eastAsia" w:ascii="仿宋_GB2312" w:eastAsia="仿宋_GB2312"/>
          <w:color w:val="auto"/>
          <w:sz w:val="28"/>
          <w:szCs w:val="28"/>
          <w:highlight w:val="none"/>
          <w:lang w:eastAsia="zh-CN"/>
        </w:rPr>
        <w:t>第四学期</w:t>
      </w:r>
      <w:r>
        <w:rPr>
          <w:rFonts w:hint="eastAsia" w:ascii="仿宋_GB2312" w:eastAsia="仿宋_GB2312"/>
          <w:color w:val="auto"/>
          <w:sz w:val="28"/>
          <w:szCs w:val="28"/>
          <w:lang w:eastAsia="zh-CN"/>
        </w:rPr>
        <w:t>进行，</w:t>
      </w:r>
      <w:r>
        <w:rPr>
          <w:rFonts w:hint="eastAsia" w:ascii="仿宋_GB2312" w:eastAsia="仿宋_GB2312"/>
          <w:color w:val="auto"/>
          <w:sz w:val="28"/>
          <w:szCs w:val="28"/>
          <w:lang w:val="en-US" w:eastAsia="zh-CN"/>
        </w:rPr>
        <w:t>每周2个学时，</w:t>
      </w:r>
      <w:r>
        <w:rPr>
          <w:rFonts w:hint="eastAsia" w:ascii="仿宋_GB2312" w:eastAsia="仿宋_GB2312"/>
          <w:color w:val="auto"/>
          <w:sz w:val="28"/>
          <w:szCs w:val="28"/>
          <w:lang w:eastAsia="zh-CN"/>
        </w:rPr>
        <w:t>合计学时为</w:t>
      </w:r>
      <w:r>
        <w:rPr>
          <w:rFonts w:hint="eastAsia" w:ascii="仿宋_GB2312" w:eastAsia="仿宋_GB2312"/>
          <w:color w:val="auto"/>
          <w:sz w:val="28"/>
          <w:szCs w:val="28"/>
          <w:lang w:val="en-US" w:eastAsia="zh-CN"/>
        </w:rPr>
        <w:t>36学时，合计学分为2学分</w:t>
      </w:r>
    </w:p>
    <w:p>
      <w:pPr>
        <w:numPr>
          <w:ilvl w:val="0"/>
          <w:numId w:val="5"/>
        </w:numPr>
        <w:spacing w:line="620" w:lineRule="exact"/>
        <w:ind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认知实习</w:t>
      </w:r>
    </w:p>
    <w:p>
      <w:pPr>
        <w:ind w:firstLine="560"/>
        <w:rPr>
          <w:rFonts w:hint="eastAsia" w:ascii="仿宋_GB2312" w:eastAsia="仿宋_GB2312"/>
          <w:color w:val="000000" w:themeColor="text1"/>
          <w:sz w:val="28"/>
          <w:szCs w:val="28"/>
          <w:lang w:val="en-US" w:eastAsia="zh-CN"/>
          <w14:textFill>
            <w14:solidFill>
              <w14:schemeClr w14:val="tx1"/>
            </w14:solidFill>
          </w14:textFill>
        </w:rPr>
      </w:pPr>
      <w:r>
        <w:rPr>
          <w:rFonts w:hint="eastAsia" w:ascii="仿宋" w:hAnsi="仿宋" w:eastAsia="仿宋" w:cs="仿宋"/>
          <w:kern w:val="0"/>
          <w:sz w:val="28"/>
          <w:szCs w:val="28"/>
          <w:lang w:val="en-US" w:eastAsia="zh-CN"/>
        </w:rPr>
        <w:t>认知实习安排在第一学期，为期5天。</w:t>
      </w:r>
      <w:r>
        <w:rPr>
          <w:rFonts w:hint="eastAsia" w:ascii="仿宋" w:hAnsi="仿宋" w:eastAsia="仿宋" w:cs="仿宋"/>
          <w:kern w:val="0"/>
          <w:sz w:val="28"/>
          <w:szCs w:val="28"/>
        </w:rPr>
        <w:t>为了让学生更多地了解</w:t>
      </w:r>
      <w:r>
        <w:rPr>
          <w:rFonts w:hint="eastAsia" w:ascii="仿宋" w:hAnsi="仿宋" w:eastAsia="仿宋" w:cs="仿宋"/>
          <w:kern w:val="0"/>
          <w:sz w:val="28"/>
          <w:szCs w:val="28"/>
          <w:lang w:eastAsia="zh-CN"/>
        </w:rPr>
        <w:t>汽车</w:t>
      </w:r>
      <w:r>
        <w:rPr>
          <w:rFonts w:hint="eastAsia" w:ascii="仿宋" w:hAnsi="仿宋" w:eastAsia="仿宋" w:cs="仿宋"/>
          <w:kern w:val="0"/>
          <w:sz w:val="28"/>
          <w:szCs w:val="28"/>
        </w:rPr>
        <w:t>专业，增强学生对专业的认识，提高学生对专业学习的兴趣。在第五学期组织学生到</w:t>
      </w:r>
      <w:r>
        <w:rPr>
          <w:rFonts w:hint="eastAsia" w:ascii="仿宋" w:hAnsi="仿宋" w:eastAsia="仿宋" w:cs="仿宋"/>
          <w:kern w:val="0"/>
          <w:sz w:val="28"/>
          <w:szCs w:val="28"/>
          <w:lang w:eastAsia="zh-CN"/>
        </w:rPr>
        <w:t>汽车企业</w:t>
      </w:r>
      <w:r>
        <w:rPr>
          <w:rFonts w:hint="eastAsia" w:ascii="仿宋" w:hAnsi="仿宋" w:eastAsia="仿宋" w:cs="仿宋"/>
          <w:kern w:val="0"/>
          <w:sz w:val="28"/>
          <w:szCs w:val="28"/>
        </w:rPr>
        <w:t>进行观岗实训，让学生对企业文化知识、岗位能力基本要求等有一定的了解，能较直观地了解专业相关的工作岗位，增强学生学习专业知识和掌握专业技能的信心，为后继学习专业知识和专业技能奠定坚实的基础。</w:t>
      </w:r>
    </w:p>
    <w:p>
      <w:pPr>
        <w:numPr>
          <w:ilvl w:val="0"/>
          <w:numId w:val="5"/>
        </w:numPr>
        <w:spacing w:line="620" w:lineRule="exact"/>
        <w:ind w:firstLine="560" w:firstLineChars="200"/>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跟岗实习</w:t>
      </w:r>
    </w:p>
    <w:p>
      <w:pPr>
        <w:numPr>
          <w:ilvl w:val="0"/>
          <w:numId w:val="0"/>
        </w:numPr>
        <w:spacing w:line="620" w:lineRule="exact"/>
        <w:ind w:firstLine="560" w:firstLineChars="200"/>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跟岗实习安排在第五学期，为期一周，</w:t>
      </w:r>
      <w:r>
        <w:rPr>
          <w:rFonts w:hint="eastAsia" w:ascii="仿宋" w:hAnsi="仿宋" w:eastAsia="仿宋" w:cs="仿宋"/>
          <w:color w:val="auto"/>
          <w:kern w:val="0"/>
          <w:sz w:val="28"/>
          <w:szCs w:val="28"/>
        </w:rPr>
        <w:t>组织学生到</w:t>
      </w:r>
      <w:r>
        <w:rPr>
          <w:rFonts w:hint="eastAsia" w:ascii="仿宋" w:hAnsi="仿宋" w:eastAsia="仿宋" w:cs="仿宋"/>
          <w:color w:val="auto"/>
          <w:kern w:val="0"/>
          <w:sz w:val="28"/>
          <w:szCs w:val="28"/>
          <w:lang w:eastAsia="zh-CN"/>
        </w:rPr>
        <w:t>汽车</w:t>
      </w:r>
      <w:r>
        <w:rPr>
          <w:rFonts w:hint="eastAsia" w:ascii="仿宋" w:hAnsi="仿宋" w:eastAsia="仿宋" w:cs="仿宋"/>
          <w:color w:val="auto"/>
          <w:kern w:val="0"/>
          <w:sz w:val="28"/>
          <w:szCs w:val="28"/>
        </w:rPr>
        <w:t>企业进行跟岗实训，巩固专项实训过程中掌握的岗位操作技能，增强学生对</w:t>
      </w:r>
      <w:r>
        <w:rPr>
          <w:rFonts w:hint="eastAsia" w:ascii="仿宋" w:hAnsi="仿宋" w:eastAsia="仿宋" w:cs="仿宋"/>
          <w:color w:val="auto"/>
          <w:kern w:val="0"/>
          <w:sz w:val="28"/>
          <w:szCs w:val="28"/>
          <w:lang w:eastAsia="zh-CN"/>
        </w:rPr>
        <w:t>汽修</w:t>
      </w:r>
      <w:r>
        <w:rPr>
          <w:rFonts w:hint="eastAsia" w:ascii="仿宋" w:hAnsi="仿宋" w:eastAsia="仿宋" w:cs="仿宋"/>
          <w:color w:val="auto"/>
          <w:kern w:val="0"/>
          <w:sz w:val="28"/>
          <w:szCs w:val="28"/>
        </w:rPr>
        <w:t>行业的感性认识，提高专业技能，培养吃苦耐劳的敬业精神，培养沟通合作能力和责任意识。在综合实训实训项目与企业岗位操作紧密结合，为参加</w:t>
      </w:r>
      <w:r>
        <w:rPr>
          <w:rFonts w:hint="eastAsia" w:ascii="仿宋" w:hAnsi="仿宋" w:eastAsia="仿宋" w:cs="仿宋"/>
          <w:color w:val="auto"/>
          <w:kern w:val="0"/>
          <w:sz w:val="28"/>
          <w:szCs w:val="28"/>
          <w:lang w:eastAsia="zh-CN"/>
        </w:rPr>
        <w:t>岗位实习</w:t>
      </w:r>
      <w:r>
        <w:rPr>
          <w:rFonts w:hint="eastAsia" w:ascii="仿宋" w:hAnsi="仿宋" w:eastAsia="仿宋" w:cs="仿宋"/>
          <w:color w:val="auto"/>
          <w:kern w:val="0"/>
          <w:sz w:val="28"/>
          <w:szCs w:val="28"/>
        </w:rPr>
        <w:t>、毕业就业打下坚实基础</w:t>
      </w:r>
      <w:r>
        <w:rPr>
          <w:rFonts w:hint="eastAsia" w:ascii="仿宋" w:hAnsi="仿宋" w:eastAsia="仿宋" w:cs="仿宋"/>
          <w:color w:val="auto"/>
          <w:kern w:val="0"/>
          <w:sz w:val="28"/>
          <w:szCs w:val="28"/>
          <w:lang w:eastAsia="zh-CN"/>
        </w:rPr>
        <w:t>。</w:t>
      </w:r>
    </w:p>
    <w:p>
      <w:pPr>
        <w:numPr>
          <w:ilvl w:val="0"/>
          <w:numId w:val="5"/>
        </w:numPr>
        <w:spacing w:line="620" w:lineRule="exact"/>
        <w:ind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岗位实习</w:t>
      </w:r>
    </w:p>
    <w:p>
      <w:pPr>
        <w:spacing w:line="620" w:lineRule="exact"/>
        <w:ind w:firstLine="560" w:firstLineChars="200"/>
        <w:rPr>
          <w:rFonts w:hint="eastAsia" w:ascii="仿宋_GB2312" w:eastAsia="仿宋_GB2312"/>
          <w:color w:val="FF0000"/>
          <w:sz w:val="28"/>
          <w:szCs w:val="28"/>
          <w:lang w:eastAsia="zh-CN"/>
        </w:rPr>
      </w:pPr>
      <w:r>
        <w:rPr>
          <w:rFonts w:hint="eastAsia" w:ascii="仿宋_GB2312" w:eastAsia="仿宋_GB2312"/>
          <w:color w:val="auto"/>
          <w:sz w:val="28"/>
          <w:szCs w:val="28"/>
          <w:lang w:eastAsia="zh-CN"/>
        </w:rPr>
        <w:t>岗位实习安排在第五学期进行</w:t>
      </w:r>
      <w:r>
        <w:rPr>
          <w:rFonts w:hint="eastAsia" w:ascii="仿宋_GB2312" w:eastAsia="仿宋_GB2312"/>
          <w:color w:val="000000" w:themeColor="text1"/>
          <w:sz w:val="28"/>
          <w:szCs w:val="28"/>
          <w:lang w:eastAsia="zh-CN"/>
          <w14:textFill>
            <w14:solidFill>
              <w14:schemeClr w14:val="tx1"/>
            </w14:solidFill>
          </w14:textFill>
        </w:rPr>
        <w:t>，实习时间为2</w:t>
      </w:r>
      <w:r>
        <w:rPr>
          <w:rFonts w:hint="eastAsia" w:ascii="仿宋_GB2312" w:eastAsia="仿宋_GB2312"/>
          <w:color w:val="000000" w:themeColor="text1"/>
          <w:sz w:val="28"/>
          <w:szCs w:val="28"/>
          <w:lang w:val="en-US" w:eastAsia="zh-CN"/>
          <w14:textFill>
            <w14:solidFill>
              <w14:schemeClr w14:val="tx1"/>
            </w14:solidFill>
          </w14:textFill>
        </w:rPr>
        <w:t>0</w:t>
      </w:r>
      <w:r>
        <w:rPr>
          <w:rFonts w:hint="eastAsia" w:ascii="仿宋_GB2312" w:eastAsia="仿宋_GB2312"/>
          <w:color w:val="000000" w:themeColor="text1"/>
          <w:sz w:val="28"/>
          <w:szCs w:val="28"/>
          <w:lang w:eastAsia="zh-CN"/>
          <w14:textFill>
            <w14:solidFill>
              <w14:schemeClr w14:val="tx1"/>
            </w14:solidFill>
          </w14:textFill>
        </w:rPr>
        <w:t>周</w:t>
      </w:r>
      <w:r>
        <w:rPr>
          <w:rFonts w:hint="eastAsia" w:ascii="仿宋_GB2312" w:eastAsia="仿宋_GB2312"/>
          <w:color w:val="000000" w:themeColor="text1"/>
          <w:sz w:val="28"/>
          <w:szCs w:val="28"/>
          <w:lang w:val="en-US" w:eastAsia="zh-CN"/>
          <w14:textFill>
            <w14:solidFill>
              <w14:schemeClr w14:val="tx1"/>
            </w14:solidFill>
          </w14:textFill>
        </w:rPr>
        <w:t>，</w:t>
      </w:r>
      <w:r>
        <w:rPr>
          <w:rFonts w:hint="eastAsia" w:ascii="仿宋_GB2312" w:eastAsia="仿宋_GB2312"/>
          <w:color w:val="000000" w:themeColor="text1"/>
          <w:sz w:val="28"/>
          <w:szCs w:val="28"/>
          <w:lang w:eastAsia="zh-CN"/>
          <w14:textFill>
            <w14:solidFill>
              <w14:schemeClr w14:val="tx1"/>
            </w14:solidFill>
          </w14:textFill>
        </w:rPr>
        <w:t>每周</w:t>
      </w:r>
      <w:r>
        <w:rPr>
          <w:rFonts w:hint="eastAsia" w:ascii="仿宋_GB2312" w:eastAsia="仿宋_GB2312"/>
          <w:color w:val="000000" w:themeColor="text1"/>
          <w:sz w:val="28"/>
          <w:szCs w:val="28"/>
          <w:lang w:val="en-US" w:eastAsia="zh-CN"/>
          <w14:textFill>
            <w14:solidFill>
              <w14:schemeClr w14:val="tx1"/>
            </w14:solidFill>
          </w14:textFill>
        </w:rPr>
        <w:t>30</w:t>
      </w:r>
      <w:r>
        <w:rPr>
          <w:rFonts w:hint="eastAsia" w:ascii="仿宋_GB2312" w:eastAsia="仿宋_GB2312"/>
          <w:color w:val="000000" w:themeColor="text1"/>
          <w:sz w:val="28"/>
          <w:szCs w:val="28"/>
          <w:lang w:eastAsia="zh-CN"/>
          <w14:textFill>
            <w14:solidFill>
              <w14:schemeClr w14:val="tx1"/>
            </w14:solidFill>
          </w14:textFill>
        </w:rPr>
        <w:t>小时，合计</w:t>
      </w:r>
      <w:r>
        <w:rPr>
          <w:rFonts w:hint="eastAsia" w:ascii="仿宋_GB2312" w:eastAsia="仿宋_GB2312"/>
          <w:color w:val="000000" w:themeColor="text1"/>
          <w:sz w:val="28"/>
          <w:szCs w:val="28"/>
          <w:lang w:val="en-US" w:eastAsia="zh-CN"/>
          <w14:textFill>
            <w14:solidFill>
              <w14:schemeClr w14:val="tx1"/>
            </w14:solidFill>
          </w14:textFill>
        </w:rPr>
        <w:t>600学时、30学分</w:t>
      </w:r>
      <w:r>
        <w:rPr>
          <w:rFonts w:hint="eastAsia" w:ascii="仿宋_GB2312" w:eastAsia="仿宋_GB2312"/>
          <w:color w:val="000000" w:themeColor="text1"/>
          <w:sz w:val="28"/>
          <w:szCs w:val="28"/>
          <w:lang w:eastAsia="zh-CN"/>
          <w14:textFill>
            <w14:solidFill>
              <w14:schemeClr w14:val="tx1"/>
            </w14:solidFill>
          </w14:textFill>
        </w:rPr>
        <w:t>。</w:t>
      </w:r>
    </w:p>
    <w:p>
      <w:pPr>
        <w:spacing w:line="620" w:lineRule="exact"/>
        <w:ind w:firstLine="560" w:firstLineChars="200"/>
        <w:rPr>
          <w:rFonts w:hint="eastAsia" w:ascii="仿宋_GB2312" w:eastAsia="仿宋_GB2312"/>
          <w:color w:val="000000" w:themeColor="text1"/>
          <w:sz w:val="28"/>
          <w:szCs w:val="28"/>
          <w:lang w:eastAsia="zh-CN"/>
          <w14:textFill>
            <w14:solidFill>
              <w14:schemeClr w14:val="tx1"/>
            </w14:solidFill>
          </w14:textFill>
        </w:rPr>
      </w:pPr>
      <w:r>
        <w:rPr>
          <w:rFonts w:hint="eastAsia" w:ascii="仿宋_GB2312" w:eastAsia="仿宋_GB2312"/>
          <w:color w:val="000000" w:themeColor="text1"/>
          <w:sz w:val="28"/>
          <w:szCs w:val="28"/>
          <w:lang w:eastAsia="zh-CN"/>
          <w14:textFill>
            <w14:solidFill>
              <w14:schemeClr w14:val="tx1"/>
            </w14:solidFill>
          </w14:textFill>
        </w:rPr>
        <w:t>专业岗位实习在校企合作企业或社会行业的相应岗位进行实习。通过岗位实习，使学生进一步巩固所学理论知识，使学生走向社会，接触本专业实际工作，接受企业指导教师的专业技能和专业理论指导。参加企业生产活动，在职业岗位环境和工作氛围中进行基本作业项目的实训，提高实践动手能力。培养、锻炼学生综合运用所学专业知识的能力和独立分析，解决实际问题的能力，拓宽知识面，增强感性认识，加深对理论知识的理解，积累实际工作经验，从而为以后的专业学习创造有利条件。还可以了解汽车行业现况，了解汽车维修行业各岗位对人才的需求，培养吃苦耐劳的品质和良好的职业道德、职业素质；培养与人交流、沟通的能力，增强团队合作精神，促进学生由学校人向社会人的转变。</w:t>
      </w:r>
    </w:p>
    <w:p>
      <w:pPr>
        <w:numPr>
          <w:ilvl w:val="0"/>
          <w:numId w:val="6"/>
        </w:numPr>
        <w:spacing w:line="620" w:lineRule="exact"/>
        <w:ind w:firstLine="640" w:firstLineChars="200"/>
        <w:outlineLvl w:val="0"/>
        <w:rPr>
          <w:rFonts w:hint="eastAsia" w:ascii="黑体" w:eastAsia="黑体"/>
          <w:sz w:val="32"/>
          <w:szCs w:val="32"/>
        </w:rPr>
      </w:pPr>
      <w:bookmarkStart w:id="79" w:name="_Toc2549"/>
      <w:r>
        <w:rPr>
          <w:rFonts w:hint="eastAsia" w:ascii="黑体" w:eastAsia="黑体"/>
          <w:sz w:val="32"/>
          <w:szCs w:val="32"/>
        </w:rPr>
        <w:t>教学进程总体安排</w:t>
      </w:r>
      <w:bookmarkEnd w:id="79"/>
    </w:p>
    <w:p>
      <w:pPr>
        <w:pStyle w:val="4"/>
        <w:numPr>
          <w:ilvl w:val="0"/>
          <w:numId w:val="7"/>
        </w:numPr>
        <w:bidi w:val="0"/>
        <w:outlineLvl w:val="1"/>
        <w:rPr>
          <w:rFonts w:hint="eastAsia"/>
          <w:b/>
          <w:bCs/>
          <w:lang w:val="en-US" w:eastAsia="zh-CN"/>
        </w:rPr>
      </w:pPr>
      <w:bookmarkStart w:id="80" w:name="_Toc15469"/>
      <w:bookmarkStart w:id="81" w:name="_Toc25301"/>
      <w:r>
        <w:rPr>
          <w:rFonts w:hint="eastAsia"/>
          <w:b/>
          <w:bCs/>
          <w:lang w:val="en-US" w:eastAsia="zh-CN"/>
        </w:rPr>
        <w:t>总体要求</w:t>
      </w:r>
      <w:bookmarkEnd w:id="80"/>
      <w:bookmarkEnd w:id="81"/>
    </w:p>
    <w:p>
      <w:pPr>
        <w:spacing w:line="62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教学总周数110周（岗位实习为半年，按20周计算），每学期教学为18周，不含半期、期末和机动时间，全学年为36周，每周29个学时。，总学时为3210，总学分为168。</w:t>
      </w:r>
    </w:p>
    <w:p>
      <w:pPr>
        <w:spacing w:line="62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第1-2学年：</w:t>
      </w:r>
      <w:r>
        <w:rPr>
          <w:rFonts w:hint="eastAsia" w:ascii="仿宋" w:hAnsi="仿宋" w:eastAsia="仿宋" w:cs="仿宋"/>
          <w:kern w:val="1"/>
          <w:sz w:val="28"/>
          <w:szCs w:val="28"/>
        </w:rPr>
        <w:t>每周按29课时计算，共</w:t>
      </w:r>
      <w:r>
        <w:rPr>
          <w:rFonts w:hint="eastAsia" w:ascii="仿宋" w:hAnsi="仿宋" w:eastAsia="仿宋" w:cs="仿宋"/>
          <w:kern w:val="1"/>
          <w:sz w:val="28"/>
          <w:szCs w:val="28"/>
          <w:lang w:val="en-US" w:eastAsia="zh-CN"/>
        </w:rPr>
        <w:t>2088</w:t>
      </w:r>
      <w:r>
        <w:rPr>
          <w:rFonts w:hint="eastAsia" w:ascii="仿宋" w:hAnsi="仿宋" w:eastAsia="仿宋" w:cs="仿宋"/>
          <w:kern w:val="1"/>
          <w:sz w:val="28"/>
          <w:szCs w:val="28"/>
        </w:rPr>
        <w:t>学时（36周*2年*29），</w:t>
      </w:r>
      <w:r>
        <w:rPr>
          <w:rFonts w:hint="eastAsia" w:ascii="仿宋_GB2312" w:eastAsia="仿宋_GB2312"/>
          <w:color w:val="000000"/>
          <w:sz w:val="28"/>
          <w:szCs w:val="28"/>
        </w:rPr>
        <w:t>折合</w:t>
      </w:r>
      <w:r>
        <w:rPr>
          <w:rFonts w:hint="eastAsia" w:ascii="仿宋_GB2312" w:eastAsia="仿宋_GB2312"/>
          <w:color w:val="000000"/>
          <w:sz w:val="28"/>
          <w:szCs w:val="28"/>
          <w:lang w:val="en-US" w:eastAsia="zh-CN"/>
        </w:rPr>
        <w:t>116</w:t>
      </w:r>
      <w:r>
        <w:rPr>
          <w:rFonts w:hint="eastAsia" w:ascii="仿宋_GB2312" w:eastAsia="仿宋_GB2312"/>
          <w:color w:val="000000"/>
          <w:sz w:val="28"/>
          <w:szCs w:val="28"/>
        </w:rPr>
        <w:t>学分</w:t>
      </w:r>
      <w:r>
        <w:rPr>
          <w:rFonts w:hint="eastAsia" w:ascii="仿宋" w:hAnsi="仿宋" w:eastAsia="仿宋" w:cs="仿宋"/>
          <w:kern w:val="1"/>
          <w:sz w:val="28"/>
          <w:szCs w:val="28"/>
        </w:rPr>
        <w:t>；</w:t>
      </w:r>
    </w:p>
    <w:p>
      <w:pPr>
        <w:spacing w:line="62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第3学年：1122学时。其中上课学时522学时，折合29学分，岗位实习学时600学时（岗位实习半年，每周30小时（1小时折合1学时，20周为600学时），折合33学分。</w:t>
      </w:r>
    </w:p>
    <w:p>
      <w:pPr>
        <w:spacing w:line="62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ind w:firstLine="480" w:firstLineChars="200"/>
        <w:jc w:val="center"/>
        <w:rPr>
          <w:rFonts w:hint="eastAsia" w:ascii="仿宋" w:hAnsi="仿宋" w:eastAsia="仿宋" w:cs="仿宋"/>
          <w:sz w:val="24"/>
          <w:szCs w:val="24"/>
          <w:lang w:eastAsia="zh-CN"/>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4"/>
        <w:numPr>
          <w:ilvl w:val="0"/>
          <w:numId w:val="7"/>
        </w:numPr>
        <w:bidi w:val="0"/>
        <w:outlineLvl w:val="1"/>
        <w:rPr>
          <w:rFonts w:hint="eastAsia"/>
          <w:b/>
          <w:bCs/>
          <w:lang w:val="en-US" w:eastAsia="zh-CN"/>
        </w:rPr>
      </w:pPr>
      <w:bookmarkStart w:id="82" w:name="_Toc19177"/>
      <w:bookmarkStart w:id="83" w:name="_Toc21436"/>
      <w:r>
        <w:rPr>
          <w:rFonts w:hint="eastAsia"/>
          <w:b/>
          <w:bCs/>
          <w:lang w:val="en-US" w:eastAsia="zh-CN"/>
        </w:rPr>
        <w:t>教学进度安排</w:t>
      </w:r>
      <w:bookmarkEnd w:id="82"/>
      <w:bookmarkEnd w:id="83"/>
    </w:p>
    <w:p>
      <w:pPr>
        <w:spacing w:line="620" w:lineRule="exact"/>
        <w:ind w:firstLine="480" w:firstLineChars="200"/>
        <w:jc w:val="center"/>
        <w:rPr>
          <w:rFonts w:hint="eastAsia" w:ascii="仿宋_GB2312" w:eastAsia="仿宋_GB2312"/>
          <w:color w:val="000000" w:themeColor="text1"/>
          <w:sz w:val="24"/>
          <w:szCs w:val="24"/>
          <w:lang w:val="en-US" w:eastAsia="zh-CN"/>
          <w14:textFill>
            <w14:solidFill>
              <w14:schemeClr w14:val="tx1"/>
            </w14:solidFill>
          </w14:textFill>
        </w:rPr>
      </w:pPr>
      <w:r>
        <w:rPr>
          <w:rFonts w:hint="eastAsia" w:ascii="仿宋_GB2312" w:eastAsia="仿宋_GB2312"/>
          <w:color w:val="000000" w:themeColor="text1"/>
          <w:sz w:val="24"/>
          <w:szCs w:val="24"/>
          <w:lang w:val="en-US" w:eastAsia="zh-CN"/>
          <w14:textFill>
            <w14:solidFill>
              <w14:schemeClr w14:val="tx1"/>
            </w14:solidFill>
          </w14:textFill>
        </w:rPr>
        <w:t>表10：三年运行计表</w:t>
      </w:r>
    </w:p>
    <w:tbl>
      <w:tblPr>
        <w:tblStyle w:val="10"/>
        <w:tblW w:w="149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5"/>
        <w:gridCol w:w="600"/>
        <w:gridCol w:w="1080"/>
        <w:gridCol w:w="930"/>
        <w:gridCol w:w="915"/>
        <w:gridCol w:w="1080"/>
        <w:gridCol w:w="750"/>
        <w:gridCol w:w="975"/>
        <w:gridCol w:w="885"/>
        <w:gridCol w:w="795"/>
        <w:gridCol w:w="795"/>
        <w:gridCol w:w="795"/>
        <w:gridCol w:w="795"/>
        <w:gridCol w:w="795"/>
        <w:gridCol w:w="795"/>
        <w:gridCol w:w="795"/>
        <w:gridCol w:w="795"/>
        <w:gridCol w:w="7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15"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课程结构</w:t>
            </w:r>
          </w:p>
        </w:tc>
        <w:tc>
          <w:tcPr>
            <w:tcW w:w="1080"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序号</w:t>
            </w:r>
          </w:p>
        </w:tc>
        <w:tc>
          <w:tcPr>
            <w:tcW w:w="930"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课程编码</w:t>
            </w:r>
          </w:p>
        </w:tc>
        <w:tc>
          <w:tcPr>
            <w:tcW w:w="91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课程</w:t>
            </w:r>
          </w:p>
        </w:tc>
        <w:tc>
          <w:tcPr>
            <w:tcW w:w="1080"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课程名称</w:t>
            </w:r>
          </w:p>
        </w:tc>
        <w:tc>
          <w:tcPr>
            <w:tcW w:w="750"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课程类型</w:t>
            </w:r>
          </w:p>
        </w:tc>
        <w:tc>
          <w:tcPr>
            <w:tcW w:w="97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参考学分</w:t>
            </w:r>
          </w:p>
        </w:tc>
        <w:tc>
          <w:tcPr>
            <w:tcW w:w="88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考核方式</w:t>
            </w:r>
          </w:p>
        </w:tc>
        <w:tc>
          <w:tcPr>
            <w:tcW w:w="2385"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参考学时</w:t>
            </w:r>
          </w:p>
        </w:tc>
        <w:tc>
          <w:tcPr>
            <w:tcW w:w="4770" w:type="dxa"/>
            <w:gridSpan w:val="6"/>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学时安排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15"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3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1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5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88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总学时</w:t>
            </w:r>
          </w:p>
        </w:tc>
        <w:tc>
          <w:tcPr>
            <w:tcW w:w="79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理论学时</w:t>
            </w:r>
          </w:p>
        </w:tc>
        <w:tc>
          <w:tcPr>
            <w:tcW w:w="79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实践学时</w:t>
            </w:r>
          </w:p>
        </w:tc>
        <w:tc>
          <w:tcPr>
            <w:tcW w:w="159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第一学年</w:t>
            </w:r>
          </w:p>
        </w:tc>
        <w:tc>
          <w:tcPr>
            <w:tcW w:w="159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第二学年</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第三学年</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215"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3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1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5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88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第一学期18周</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第二学期18周</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第一学期18周</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第二学期18周</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第一学期20周</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第二学期18周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215"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公共基础课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3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11101</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中国特色社会主义</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岗位实习</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11102</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心理健康与职业生涯</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11103</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哲学与人生</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11104</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职业道德与法律</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11105</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语文</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144</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11106</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历史</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11107</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数学</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11108</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英语</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11109</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计算机应用基础</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11110</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体育与健康</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11112</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美术</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11114</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物理</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c>
          <w:tcPr>
            <w:tcW w:w="93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11115</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军训</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2周</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11116</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劳动教育</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1周</w:t>
            </w:r>
          </w:p>
        </w:tc>
        <w:tc>
          <w:tcPr>
            <w:tcW w:w="79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1周</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755"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小计</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52</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980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594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386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53201</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限选课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普通话</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53202</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限选课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统计学</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53203</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限选课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汽车专业英语</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53204</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限选课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花鼓操</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53205</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限选课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羽毛球</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53206</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限选课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篮球</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53207</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限选课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汽车美容</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nil"/>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005"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小计</w:t>
            </w:r>
          </w:p>
        </w:tc>
        <w:tc>
          <w:tcPr>
            <w:tcW w:w="750"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b/>
                <w:bCs/>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16</w:t>
            </w:r>
          </w:p>
        </w:tc>
        <w:tc>
          <w:tcPr>
            <w:tcW w:w="88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288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138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150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3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11117</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外国历史</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11118</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中华优秀传统文化</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11119</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自然科学教育</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11120</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就业指导与创业教育</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11121</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贵州省情</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11122</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法治意识教育</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nil"/>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11114</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化学</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nil"/>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single" w:color="000000" w:sz="8" w:space="0"/>
              <w:left w:val="single" w:color="000000" w:sz="8" w:space="0"/>
              <w:bottom w:val="nil"/>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005"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应选修小计</w:t>
            </w:r>
          </w:p>
        </w:tc>
        <w:tc>
          <w:tcPr>
            <w:tcW w:w="750"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nil"/>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005"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合计</w:t>
            </w:r>
          </w:p>
        </w:tc>
        <w:tc>
          <w:tcPr>
            <w:tcW w:w="750"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70</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1304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768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15"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专业技能课程</w:t>
            </w:r>
          </w:p>
        </w:tc>
        <w:tc>
          <w:tcPr>
            <w:tcW w:w="600" w:type="dxa"/>
            <w:vMerge w:val="restar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专业基础课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57101</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基础课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汽车文化</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57102</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基础课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汽车机械基础</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57103</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基础课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汽车电工电子基础</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57104</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基础课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汽车发动机构造与拆装</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57105</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基础课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汽车底盘构造与拆装</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tcBorders>
              <w:top w:val="nil"/>
              <w:left w:val="nil"/>
              <w:bottom w:val="nil"/>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005"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小计</w:t>
            </w:r>
          </w:p>
        </w:tc>
        <w:tc>
          <w:tcPr>
            <w:tcW w:w="750"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17</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306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90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216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专业核心课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54101</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核心课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汽车定期维护（一）</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54102</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核心课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汽车发动机机械维修</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54103</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核心课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汽车传动系统维修</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54104</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核心课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汽车悬挂、转向与制动系统维修</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54105</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核心课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汽车发动机电器与控制系统检修</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54106</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核心课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汽车车身电气设备检修</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27</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63</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54107</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核心课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汽车空调系统检修</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54108</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核心课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汽车定期维护（二）</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single" w:color="000000" w:sz="8" w:space="0"/>
              <w:left w:val="single" w:color="000000" w:sz="8" w:space="0"/>
              <w:bottom w:val="nil"/>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005"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小计</w:t>
            </w:r>
          </w:p>
        </w:tc>
        <w:tc>
          <w:tcPr>
            <w:tcW w:w="750"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558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202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482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15</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11</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专业方向课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55101</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方向课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汽车发动机及底盘常见故障的诊断与排除</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55102</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方向课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汽车自动变速器维修</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55103</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方向课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汽车检测与诊断技术</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55104</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方向课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汽车检测设备的使用与维护</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55105</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方向课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汽车维修接待实务</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55106</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方向课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汽车保险与理赔</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nil"/>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005"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小计</w:t>
            </w:r>
          </w:p>
        </w:tc>
        <w:tc>
          <w:tcPr>
            <w:tcW w:w="750"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8</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144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100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restar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专业拓展课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56401</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汽车配件营销</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nil"/>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56402</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汽车美容与装潢</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nil"/>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56403</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心理健康</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nil"/>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56404</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汽车营销实务</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nil"/>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nil"/>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005"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小计（4选3）</w:t>
            </w:r>
          </w:p>
        </w:tc>
        <w:tc>
          <w:tcPr>
            <w:tcW w:w="750"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378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113</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265</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12</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实践性教学环节</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1845" w:type="dxa"/>
            <w:gridSpan w:val="2"/>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综合实训</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1845" w:type="dxa"/>
            <w:gridSpan w:val="2"/>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认知实习</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770"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安排在第一学期，为期5天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1845" w:type="dxa"/>
            <w:gridSpan w:val="2"/>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岗位实习</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770"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安排在第五学期为期1周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1845" w:type="dxa"/>
            <w:gridSpan w:val="2"/>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岗位实习</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33</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600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600</w:t>
            </w:r>
          </w:p>
        </w:tc>
        <w:tc>
          <w:tcPr>
            <w:tcW w:w="4770"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安排在第五学期，为期20周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005"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小计</w:t>
            </w:r>
          </w:p>
        </w:tc>
        <w:tc>
          <w:tcPr>
            <w:tcW w:w="750"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35</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636</w:t>
            </w: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Calibri" w:hAnsi="Calibri" w:eastAsia="宋体" w:cs="Calibri"/>
                <w:i w:val="0"/>
                <w:iCs w:val="0"/>
                <w:color w:val="000000"/>
                <w:sz w:val="21"/>
                <w:szCs w:val="21"/>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both"/>
              <w:rPr>
                <w:rFonts w:hint="default" w:ascii="Calibri" w:hAnsi="Calibri" w:eastAsia="宋体" w:cs="Calibri"/>
                <w:i w:val="0"/>
                <w:iCs w:val="0"/>
                <w:color w:val="000000"/>
                <w:sz w:val="21"/>
                <w:szCs w:val="21"/>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both"/>
              <w:rPr>
                <w:rFonts w:hint="default" w:ascii="Calibri" w:hAnsi="Calibri" w:eastAsia="宋体" w:cs="Calibri"/>
                <w:i w:val="0"/>
                <w:iCs w:val="0"/>
                <w:color w:val="000000"/>
                <w:sz w:val="21"/>
                <w:szCs w:val="21"/>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220" w:type="dxa"/>
            <w:gridSpan w:val="6"/>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专业技能课课时合计</w:t>
            </w:r>
          </w:p>
        </w:tc>
        <w:tc>
          <w:tcPr>
            <w:tcW w:w="750"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77</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1386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449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937</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1"/>
                <w:szCs w:val="21"/>
                <w:u w:val="none"/>
              </w:rPr>
            </w:pPr>
            <w:r>
              <w:rPr>
                <w:rFonts w:hint="default" w:ascii="Calibri" w:hAnsi="Calibri" w:eastAsia="宋体" w:cs="Calibri"/>
                <w:b/>
                <w:bCs/>
                <w:i w:val="0"/>
                <w:iCs w:val="0"/>
                <w:color w:val="000000"/>
                <w:kern w:val="0"/>
                <w:sz w:val="21"/>
                <w:szCs w:val="21"/>
                <w:u w:val="none"/>
                <w:lang w:val="en-US" w:eastAsia="zh-CN" w:bidi="ar"/>
              </w:rPr>
              <w:t>10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1"/>
                <w:szCs w:val="21"/>
                <w:u w:val="none"/>
              </w:rPr>
            </w:pPr>
            <w:r>
              <w:rPr>
                <w:rFonts w:hint="default" w:ascii="Calibri" w:hAnsi="Calibri" w:eastAsia="宋体" w:cs="Calibri"/>
                <w:b/>
                <w:bCs/>
                <w:i w:val="0"/>
                <w:iCs w:val="0"/>
                <w:color w:val="000000"/>
                <w:kern w:val="0"/>
                <w:sz w:val="21"/>
                <w:szCs w:val="21"/>
                <w:u w:val="none"/>
                <w:lang w:val="en-US" w:eastAsia="zh-CN" w:bidi="ar"/>
              </w:rPr>
              <w:t>15</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1"/>
                <w:szCs w:val="21"/>
                <w:u w:val="none"/>
              </w:rPr>
            </w:pPr>
            <w:r>
              <w:rPr>
                <w:rFonts w:hint="default" w:ascii="Calibri" w:hAnsi="Calibri" w:eastAsia="宋体" w:cs="Calibri"/>
                <w:b/>
                <w:bCs/>
                <w:i w:val="0"/>
                <w:iCs w:val="0"/>
                <w:color w:val="000000"/>
                <w:kern w:val="0"/>
                <w:sz w:val="21"/>
                <w:szCs w:val="21"/>
                <w:u w:val="none"/>
                <w:lang w:val="en-US" w:eastAsia="zh-CN" w:bidi="ar"/>
              </w:rPr>
              <w:t>11</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default" w:ascii="Calibri" w:hAnsi="Calibri" w:eastAsia="宋体" w:cs="Calibri"/>
                <w:b/>
                <w:bCs/>
                <w:i w:val="0"/>
                <w:iCs w:val="0"/>
                <w:color w:val="000000"/>
                <w:sz w:val="21"/>
                <w:szCs w:val="21"/>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1"/>
                <w:szCs w:val="21"/>
                <w:u w:val="none"/>
              </w:rPr>
            </w:pPr>
            <w:r>
              <w:rPr>
                <w:rFonts w:hint="default" w:ascii="Calibri" w:hAnsi="Calibri" w:eastAsia="宋体" w:cs="Calibri"/>
                <w:b/>
                <w:bCs/>
                <w:i w:val="0"/>
                <w:iCs w:val="0"/>
                <w:color w:val="000000"/>
                <w:kern w:val="0"/>
                <w:sz w:val="21"/>
                <w:szCs w:val="21"/>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220" w:type="dxa"/>
            <w:gridSpan w:val="6"/>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总计</w:t>
            </w:r>
          </w:p>
        </w:tc>
        <w:tc>
          <w:tcPr>
            <w:tcW w:w="750"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213</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3830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1433</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2397</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220" w:type="dxa"/>
            <w:gridSpan w:val="6"/>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应修总学时及学分</w:t>
            </w:r>
          </w:p>
        </w:tc>
        <w:tc>
          <w:tcPr>
            <w:tcW w:w="750"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185</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3326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1217</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2109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15"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课程比例</w:t>
            </w:r>
          </w:p>
        </w:tc>
        <w:tc>
          <w:tcPr>
            <w:tcW w:w="1680" w:type="dxa"/>
            <w:gridSpan w:val="2"/>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510" w:type="dxa"/>
            <w:gridSpan w:val="11"/>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公共基础课占比=（公共基础课必修学时+限定选修学时）/应修总学时</w:t>
            </w:r>
          </w:p>
        </w:tc>
        <w:tc>
          <w:tcPr>
            <w:tcW w:w="318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680" w:type="dxa"/>
            <w:gridSpan w:val="2"/>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510" w:type="dxa"/>
            <w:gridSpan w:val="11"/>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选修课学时占比=（应修公共选修课学时+应修专业选修课）/应修总学时</w:t>
            </w:r>
          </w:p>
        </w:tc>
        <w:tc>
          <w:tcPr>
            <w:tcW w:w="318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12.45%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680" w:type="dxa"/>
            <w:gridSpan w:val="2"/>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510" w:type="dxa"/>
            <w:gridSpan w:val="11"/>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实践教学学时占比=应修实践教学学时/应修总学时</w:t>
            </w:r>
          </w:p>
        </w:tc>
        <w:tc>
          <w:tcPr>
            <w:tcW w:w="318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67.19%</w:t>
            </w:r>
          </w:p>
        </w:tc>
      </w:tr>
    </w:tbl>
    <w:p>
      <w:pPr>
        <w:spacing w:line="620" w:lineRule="exact"/>
        <w:rPr>
          <w:rFonts w:hint="eastAsia" w:ascii="仿宋" w:hAnsi="仿宋" w:eastAsia="仿宋" w:cs="仿宋"/>
          <w:sz w:val="24"/>
          <w:szCs w:val="24"/>
          <w:lang w:eastAsia="zh-CN"/>
        </w:rPr>
      </w:pPr>
    </w:p>
    <w:p>
      <w:pPr>
        <w:spacing w:line="620" w:lineRule="exact"/>
        <w:ind w:firstLine="480" w:firstLineChars="200"/>
        <w:rPr>
          <w:rFonts w:hint="eastAsia" w:ascii="仿宋" w:hAnsi="仿宋" w:eastAsia="仿宋" w:cs="仿宋"/>
          <w:sz w:val="24"/>
          <w:szCs w:val="24"/>
          <w:lang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ascii="仿宋" w:hAnsi="仿宋" w:eastAsia="仿宋" w:cs="仿宋"/>
          <w:sz w:val="24"/>
          <w:szCs w:val="24"/>
          <w:lang w:eastAsia="zh-CN"/>
        </w:rPr>
        <w:t>注：类型</w:t>
      </w:r>
      <w:r>
        <w:rPr>
          <w:rFonts w:hint="eastAsia" w:ascii="仿宋" w:hAnsi="仿宋" w:eastAsia="仿宋" w:cs="仿宋"/>
          <w:sz w:val="24"/>
          <w:szCs w:val="24"/>
          <w:lang w:val="en-US" w:eastAsia="zh-CN"/>
        </w:rPr>
        <w:t>A为理论课、类型B为理论+实践课、类型C为实践课。</w:t>
      </w:r>
    </w:p>
    <w:p>
      <w:pPr>
        <w:spacing w:line="620" w:lineRule="exact"/>
        <w:outlineLvl w:val="0"/>
        <w:rPr>
          <w:rFonts w:hint="eastAsia" w:ascii="黑体" w:eastAsia="黑体"/>
          <w:sz w:val="32"/>
          <w:szCs w:val="32"/>
        </w:rPr>
      </w:pPr>
      <w:bookmarkStart w:id="84" w:name="_Toc15204"/>
      <w:r>
        <w:rPr>
          <w:rFonts w:hint="eastAsia" w:ascii="黑体" w:eastAsia="黑体"/>
          <w:sz w:val="32"/>
          <w:szCs w:val="32"/>
        </w:rPr>
        <w:t>八、实施保障</w:t>
      </w:r>
      <w:bookmarkEnd w:id="84"/>
    </w:p>
    <w:p>
      <w:pPr>
        <w:spacing w:line="620" w:lineRule="exact"/>
        <w:ind w:firstLine="643" w:firstLineChars="200"/>
        <w:outlineLvl w:val="1"/>
        <w:rPr>
          <w:rFonts w:hint="eastAsia" w:ascii="楷体_GB2312" w:eastAsia="楷体_GB2312"/>
          <w:b/>
          <w:sz w:val="32"/>
          <w:szCs w:val="32"/>
        </w:rPr>
      </w:pPr>
      <w:bookmarkStart w:id="85" w:name="_Toc3719"/>
      <w:r>
        <w:rPr>
          <w:rFonts w:hint="eastAsia" w:ascii="楷体_GB2312" w:eastAsia="楷体_GB2312"/>
          <w:b/>
          <w:sz w:val="32"/>
          <w:szCs w:val="32"/>
        </w:rPr>
        <w:t>（一）师资队伍</w:t>
      </w:r>
      <w:bookmarkEnd w:id="85"/>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师资队伍建设是本专业建设和课程改革的关键。按照专业培养目标</w:t>
      </w:r>
      <w:r>
        <w:rPr>
          <w:rFonts w:hint="eastAsia" w:ascii="宋体" w:hAnsi="宋体"/>
          <w:sz w:val="24"/>
          <w:lang w:eastAsia="zh-CN"/>
        </w:rPr>
        <w:t>的要</w:t>
      </w:r>
      <w:r>
        <w:rPr>
          <w:rFonts w:hint="eastAsia" w:ascii="宋体" w:hAnsi="宋体"/>
          <w:sz w:val="24"/>
        </w:rPr>
        <w:t>求，本专业师资队伍构成如图所示</w:t>
      </w:r>
      <w:r>
        <w:rPr>
          <w:rFonts w:hint="eastAsia" w:ascii="宋体" w:hAnsi="宋体"/>
          <w:sz w:val="24"/>
          <w:lang w:eastAsia="zh-CN"/>
        </w:rPr>
        <w:t>。</w:t>
      </w:r>
      <w:r>
        <w:rPr>
          <w:rFonts w:hint="eastAsia" w:ascii="宋体" w:hAnsi="宋体"/>
          <w:sz w:val="24"/>
        </w:rPr>
        <w:t>本专业教学团队人数按师生比1:25配置，专兼职教师比例为</w:t>
      </w:r>
      <w:r>
        <w:rPr>
          <w:rFonts w:hint="eastAsia" w:ascii="宋体" w:hAnsi="宋体"/>
          <w:sz w:val="24"/>
          <w:lang w:val="en-US" w:eastAsia="zh-CN"/>
        </w:rPr>
        <w:t>1:1.5。</w:t>
      </w:r>
    </w:p>
    <w:p>
      <w:pPr>
        <w:keepNext w:val="0"/>
        <w:keepLines w:val="0"/>
        <w:widowControl/>
        <w:suppressLineNumbers w:val="0"/>
        <w:jc w:val="left"/>
        <w:textAlignment w:val="center"/>
        <w:rPr>
          <w:rFonts w:hint="eastAsia" w:ascii="仿宋" w:hAnsi="仿宋" w:cs="仿宋" w:eastAsiaTheme="minorEastAsia"/>
          <w:i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drawing>
          <wp:inline distT="0" distB="0" distL="114300" distR="114300">
            <wp:extent cx="5271135" cy="1931035"/>
            <wp:effectExtent l="0" t="0" r="5715" b="12065"/>
            <wp:docPr id="2" name="图片 2" descr="1687915626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7915626284"/>
                    <pic:cNvPicPr>
                      <a:picLocks noChangeAspect="1"/>
                    </pic:cNvPicPr>
                  </pic:nvPicPr>
                  <pic:blipFill>
                    <a:blip r:embed="rId7"/>
                    <a:stretch>
                      <a:fillRect/>
                    </a:stretch>
                  </pic:blipFill>
                  <pic:spPr>
                    <a:xfrm>
                      <a:off x="0" y="0"/>
                      <a:ext cx="5271135" cy="1931035"/>
                    </a:xfrm>
                    <a:prstGeom prst="rect">
                      <a:avLst/>
                    </a:prstGeom>
                  </pic:spPr>
                </pic:pic>
              </a:graphicData>
            </a:graphic>
          </wp:inline>
        </w:drawing>
      </w:r>
    </w:p>
    <w:p>
      <w:pPr>
        <w:spacing w:line="560" w:lineRule="exact"/>
        <w:ind w:firstLine="482" w:firstLineChars="200"/>
        <w:rPr>
          <w:rFonts w:ascii="宋体" w:hAnsi="宋体"/>
          <w:sz w:val="24"/>
        </w:rPr>
      </w:pPr>
      <w:r>
        <w:rPr>
          <w:rFonts w:hint="eastAsia" w:ascii="宋体" w:hAnsi="宋体"/>
          <w:b/>
          <w:sz w:val="24"/>
        </w:rPr>
        <w:t>1.专业带头人</w:t>
      </w:r>
    </w:p>
    <w:p>
      <w:pPr>
        <w:overflowPunct w:val="0"/>
        <w:adjustRightInd w:val="0"/>
        <w:spacing w:before="156" w:beforeLines="50" w:after="156" w:afterLines="50" w:line="312" w:lineRule="auto"/>
        <w:ind w:firstLine="480" w:firstLineChars="200"/>
        <w:rPr>
          <w:rFonts w:ascii="宋体" w:hAnsi="宋体"/>
          <w:color w:val="auto"/>
          <w:sz w:val="24"/>
        </w:rPr>
      </w:pPr>
      <w:r>
        <w:rPr>
          <w:rFonts w:hint="eastAsia" w:ascii="宋体" w:hAnsi="宋体"/>
          <w:color w:val="auto"/>
          <w:sz w:val="24"/>
        </w:rPr>
        <w:t>除满足专任教师应具备的基本条件外，本专业带头人应具有5年以上累计企业工作经历和深厚专业背景，能把握行业发展动态，在本专业具有较高的能力；能统筹规划和组织专业建设，引领专业发展，能够主持专业的教改科研和产品研发，技术服务等工作。</w:t>
      </w:r>
    </w:p>
    <w:p>
      <w:pPr>
        <w:spacing w:line="560" w:lineRule="exact"/>
        <w:ind w:firstLine="482" w:firstLineChars="200"/>
        <w:rPr>
          <w:rFonts w:ascii="宋体" w:hAnsi="宋体"/>
          <w:sz w:val="24"/>
        </w:rPr>
      </w:pPr>
      <w:r>
        <w:rPr>
          <w:rFonts w:hint="eastAsia" w:ascii="宋体" w:hAnsi="宋体"/>
          <w:b/>
          <w:sz w:val="24"/>
        </w:rPr>
        <w:t>2.专任教师</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（1）具有良好的职业素养、职业道德及现代的职教理念，具有可持续发展的能力。</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（2）具有先进的汽车运用与维修专业知识。</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（3）能够调配、规划实验实训设备，完善符合现代教学方式的教学场所。</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（4）能够指导中职学生完成高质量的企业实习和项目设计。</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（5）能够胜任校企合作工作，为企业提供技术服务、解决企业实际问题。</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（6）专任骨干教师要定期深入企业生产一线进行实践锻炼，并具有中、高级以上的资格证书。</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（7）专任骨干教师应接受过职业教育教学方法论的培训，具有开发专业课程的能力，能够指导新教师完成上岗实习工作。</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（8）专任青年教师要具备在企业实习的工作经历，并经过教师岗前培训。</w:t>
      </w:r>
    </w:p>
    <w:p>
      <w:pPr>
        <w:spacing w:line="560" w:lineRule="exact"/>
        <w:ind w:firstLine="482" w:firstLineChars="200"/>
        <w:rPr>
          <w:rFonts w:ascii="宋体" w:hAnsi="宋体"/>
          <w:sz w:val="24"/>
        </w:rPr>
      </w:pPr>
      <w:r>
        <w:rPr>
          <w:rFonts w:hint="eastAsia" w:ascii="宋体" w:hAnsi="宋体"/>
          <w:b/>
          <w:sz w:val="24"/>
        </w:rPr>
        <w:t>3.兼职教师</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从社会聘请高校的在职或者退休人员、行业专家、工程师、高级技工等任兼职教师。使学生的动手能力得以提高，并带动专职教师向“双师型”发展。兼职教师应具备：</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（1）具有本专业工程师职称或者技师以上职业资格证书。</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（2）在企业从事生产、管理、研发工作3年以上的工程技术人员或本专业的能工巧匠，具备较强的技术研发、革新及设备维护维修能力，并且具有一定教育教学能力。</w:t>
      </w:r>
    </w:p>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表12 ：专业教师基本结构</w:t>
      </w:r>
    </w:p>
    <w:tbl>
      <w:tblPr>
        <w:tblStyle w:val="11"/>
        <w:tblW w:w="9105" w:type="dxa"/>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
        <w:gridCol w:w="779"/>
        <w:gridCol w:w="341"/>
        <w:gridCol w:w="545"/>
        <w:gridCol w:w="447"/>
        <w:gridCol w:w="494"/>
        <w:gridCol w:w="23"/>
        <w:gridCol w:w="327"/>
        <w:gridCol w:w="562"/>
        <w:gridCol w:w="23"/>
        <w:gridCol w:w="406"/>
        <w:gridCol w:w="612"/>
        <w:gridCol w:w="23"/>
        <w:gridCol w:w="386"/>
        <w:gridCol w:w="612"/>
        <w:gridCol w:w="23"/>
        <w:gridCol w:w="446"/>
        <w:gridCol w:w="611"/>
        <w:gridCol w:w="23"/>
        <w:gridCol w:w="426"/>
        <w:gridCol w:w="601"/>
        <w:gridCol w:w="23"/>
        <w:gridCol w:w="572"/>
        <w:gridCol w:w="465"/>
        <w:gridCol w:w="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Pr>
        <w:tc>
          <w:tcPr>
            <w:tcW w:w="1977" w:type="dxa"/>
            <w:gridSpan w:val="4"/>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教师来源</w:t>
            </w:r>
          </w:p>
        </w:tc>
        <w:tc>
          <w:tcPr>
            <w:tcW w:w="1853" w:type="dxa"/>
            <w:gridSpan w:val="5"/>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教师学历</w:t>
            </w:r>
          </w:p>
        </w:tc>
        <w:tc>
          <w:tcPr>
            <w:tcW w:w="2062" w:type="dxa"/>
            <w:gridSpan w:val="6"/>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教师职称</w:t>
            </w:r>
          </w:p>
        </w:tc>
        <w:tc>
          <w:tcPr>
            <w:tcW w:w="2130" w:type="dxa"/>
            <w:gridSpan w:val="6"/>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技能资格证教师</w:t>
            </w:r>
          </w:p>
        </w:tc>
        <w:tc>
          <w:tcPr>
            <w:tcW w:w="1060" w:type="dxa"/>
            <w:gridSpan w:val="3"/>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双师型教师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1014" w:hRule="atLeast"/>
        </w:trPr>
        <w:tc>
          <w:tcPr>
            <w:tcW w:w="1091" w:type="dxa"/>
            <w:gridSpan w:val="2"/>
            <w:noWrap w:val="0"/>
            <w:vAlign w:val="center"/>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在职在编</w:t>
            </w:r>
          </w:p>
        </w:tc>
        <w:tc>
          <w:tcPr>
            <w:tcW w:w="886" w:type="dxa"/>
            <w:gridSpan w:val="2"/>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外聘（兼职）</w:t>
            </w:r>
          </w:p>
        </w:tc>
        <w:tc>
          <w:tcPr>
            <w:tcW w:w="941" w:type="dxa"/>
            <w:gridSpan w:val="2"/>
            <w:noWrap w:val="0"/>
            <w:vAlign w:val="center"/>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本科</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学历</w:t>
            </w:r>
          </w:p>
        </w:tc>
        <w:tc>
          <w:tcPr>
            <w:tcW w:w="912" w:type="dxa"/>
            <w:gridSpan w:val="3"/>
            <w:noWrap w:val="0"/>
            <w:vAlign w:val="center"/>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专科</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学历</w:t>
            </w:r>
          </w:p>
        </w:tc>
        <w:tc>
          <w:tcPr>
            <w:tcW w:w="1041" w:type="dxa"/>
            <w:gridSpan w:val="3"/>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高、中</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级职称</w:t>
            </w:r>
          </w:p>
        </w:tc>
        <w:tc>
          <w:tcPr>
            <w:tcW w:w="1021" w:type="dxa"/>
            <w:gridSpan w:val="3"/>
            <w:noWrap w:val="0"/>
            <w:vAlign w:val="center"/>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初级职称</w:t>
            </w:r>
          </w:p>
        </w:tc>
        <w:tc>
          <w:tcPr>
            <w:tcW w:w="1080" w:type="dxa"/>
            <w:gridSpan w:val="3"/>
            <w:noWrap w:val="0"/>
            <w:vAlign w:val="center"/>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高、中级</w:t>
            </w:r>
          </w:p>
        </w:tc>
        <w:tc>
          <w:tcPr>
            <w:tcW w:w="1050" w:type="dxa"/>
            <w:gridSpan w:val="3"/>
            <w:noWrap w:val="0"/>
            <w:vAlign w:val="center"/>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初级</w:t>
            </w:r>
          </w:p>
        </w:tc>
        <w:tc>
          <w:tcPr>
            <w:tcW w:w="595" w:type="dxa"/>
            <w:gridSpan w:val="2"/>
            <w:noWrap w:val="0"/>
            <w:vAlign w:val="center"/>
          </w:tcPr>
          <w:p>
            <w:pPr>
              <w:spacing w:line="240" w:lineRule="auto"/>
              <w:jc w:val="center"/>
              <w:rPr>
                <w:rFonts w:hint="eastAsia" w:ascii="仿宋" w:hAnsi="仿宋" w:eastAsia="仿宋" w:cs="仿宋"/>
                <w:b w:val="0"/>
                <w:bCs w:val="0"/>
                <w:color w:val="auto"/>
                <w:sz w:val="21"/>
                <w:szCs w:val="21"/>
                <w:vertAlign w:val="baseline"/>
                <w:lang w:val="en-US" w:eastAsia="zh-CN"/>
              </w:rPr>
            </w:pPr>
          </w:p>
        </w:tc>
        <w:tc>
          <w:tcPr>
            <w:tcW w:w="465" w:type="dxa"/>
            <w:noWrap w:val="0"/>
            <w:vAlign w:val="center"/>
          </w:tcPr>
          <w:p>
            <w:pPr>
              <w:spacing w:line="240" w:lineRule="auto"/>
              <w:jc w:val="center"/>
              <w:rPr>
                <w:rFonts w:hint="eastAsia" w:ascii="仿宋" w:hAnsi="仿宋" w:eastAsia="仿宋" w:cs="仿宋"/>
                <w:b w:val="0"/>
                <w:bCs w:val="0"/>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312" w:type="dxa"/>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人数</w:t>
            </w:r>
          </w:p>
        </w:tc>
        <w:tc>
          <w:tcPr>
            <w:tcW w:w="779" w:type="dxa"/>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占总</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数%</w:t>
            </w:r>
          </w:p>
        </w:tc>
        <w:tc>
          <w:tcPr>
            <w:tcW w:w="341" w:type="dxa"/>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人数</w:t>
            </w:r>
          </w:p>
        </w:tc>
        <w:tc>
          <w:tcPr>
            <w:tcW w:w="545" w:type="dxa"/>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占总</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数%</w:t>
            </w:r>
          </w:p>
        </w:tc>
        <w:tc>
          <w:tcPr>
            <w:tcW w:w="447" w:type="dxa"/>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人数</w:t>
            </w:r>
          </w:p>
        </w:tc>
        <w:tc>
          <w:tcPr>
            <w:tcW w:w="517" w:type="dxa"/>
            <w:gridSpan w:val="2"/>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占总</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数%</w:t>
            </w:r>
          </w:p>
        </w:tc>
        <w:tc>
          <w:tcPr>
            <w:tcW w:w="327" w:type="dxa"/>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人数</w:t>
            </w:r>
          </w:p>
        </w:tc>
        <w:tc>
          <w:tcPr>
            <w:tcW w:w="585" w:type="dxa"/>
            <w:gridSpan w:val="2"/>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占总</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数%</w:t>
            </w:r>
          </w:p>
        </w:tc>
        <w:tc>
          <w:tcPr>
            <w:tcW w:w="406" w:type="dxa"/>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人数</w:t>
            </w:r>
          </w:p>
        </w:tc>
        <w:tc>
          <w:tcPr>
            <w:tcW w:w="635" w:type="dxa"/>
            <w:gridSpan w:val="2"/>
            <w:noWrap w:val="0"/>
            <w:vAlign w:val="top"/>
          </w:tcPr>
          <w:p>
            <w:pPr>
              <w:spacing w:line="240" w:lineRule="auto"/>
              <w:jc w:val="both"/>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占总</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数%</w:t>
            </w:r>
          </w:p>
        </w:tc>
        <w:tc>
          <w:tcPr>
            <w:tcW w:w="386" w:type="dxa"/>
            <w:noWrap w:val="0"/>
            <w:vAlign w:val="top"/>
          </w:tcPr>
          <w:p>
            <w:pPr>
              <w:spacing w:line="240" w:lineRule="auto"/>
              <w:jc w:val="both"/>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人数</w:t>
            </w:r>
          </w:p>
        </w:tc>
        <w:tc>
          <w:tcPr>
            <w:tcW w:w="635" w:type="dxa"/>
            <w:gridSpan w:val="2"/>
            <w:noWrap w:val="0"/>
            <w:vAlign w:val="top"/>
          </w:tcPr>
          <w:p>
            <w:pPr>
              <w:spacing w:line="240" w:lineRule="auto"/>
              <w:jc w:val="both"/>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占总</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数%</w:t>
            </w:r>
          </w:p>
        </w:tc>
        <w:tc>
          <w:tcPr>
            <w:tcW w:w="446" w:type="dxa"/>
            <w:noWrap w:val="0"/>
            <w:vAlign w:val="top"/>
          </w:tcPr>
          <w:p>
            <w:pPr>
              <w:spacing w:line="240" w:lineRule="auto"/>
              <w:jc w:val="both"/>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人数</w:t>
            </w:r>
          </w:p>
        </w:tc>
        <w:tc>
          <w:tcPr>
            <w:tcW w:w="634" w:type="dxa"/>
            <w:gridSpan w:val="2"/>
            <w:noWrap w:val="0"/>
            <w:vAlign w:val="top"/>
          </w:tcPr>
          <w:p>
            <w:pPr>
              <w:spacing w:line="240" w:lineRule="auto"/>
              <w:jc w:val="both"/>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占总</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数%</w:t>
            </w:r>
          </w:p>
        </w:tc>
        <w:tc>
          <w:tcPr>
            <w:tcW w:w="426" w:type="dxa"/>
            <w:noWrap w:val="0"/>
            <w:vAlign w:val="top"/>
          </w:tcPr>
          <w:p>
            <w:pPr>
              <w:spacing w:line="240" w:lineRule="auto"/>
              <w:jc w:val="both"/>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人数</w:t>
            </w:r>
          </w:p>
        </w:tc>
        <w:tc>
          <w:tcPr>
            <w:tcW w:w="624" w:type="dxa"/>
            <w:gridSpan w:val="2"/>
            <w:noWrap w:val="0"/>
            <w:vAlign w:val="top"/>
          </w:tcPr>
          <w:p>
            <w:pPr>
              <w:spacing w:line="240" w:lineRule="auto"/>
              <w:jc w:val="both"/>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占总</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数%</w:t>
            </w:r>
          </w:p>
        </w:tc>
        <w:tc>
          <w:tcPr>
            <w:tcW w:w="572" w:type="dxa"/>
            <w:noWrap w:val="0"/>
            <w:vAlign w:val="center"/>
          </w:tcPr>
          <w:p>
            <w:pPr>
              <w:spacing w:line="240" w:lineRule="auto"/>
              <w:jc w:val="both"/>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人数</w:t>
            </w:r>
          </w:p>
        </w:tc>
        <w:tc>
          <w:tcPr>
            <w:tcW w:w="488" w:type="dxa"/>
            <w:gridSpan w:val="2"/>
            <w:noWrap w:val="0"/>
            <w:vAlign w:val="center"/>
          </w:tcPr>
          <w:p>
            <w:pPr>
              <w:spacing w:line="240" w:lineRule="auto"/>
              <w:jc w:val="both"/>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占总</w:t>
            </w:r>
          </w:p>
          <w:p>
            <w:pPr>
              <w:spacing w:line="240" w:lineRule="auto"/>
              <w:jc w:val="both"/>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 w:type="dxa"/>
            <w:noWrap w:val="0"/>
            <w:vAlign w:val="top"/>
          </w:tcPr>
          <w:p>
            <w:pPr>
              <w:spacing w:line="440" w:lineRule="exact"/>
              <w:jc w:val="center"/>
              <w:rPr>
                <w:rFonts w:hint="default"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5</w:t>
            </w:r>
          </w:p>
        </w:tc>
        <w:tc>
          <w:tcPr>
            <w:tcW w:w="779" w:type="dxa"/>
            <w:noWrap w:val="0"/>
            <w:vAlign w:val="top"/>
          </w:tcPr>
          <w:p>
            <w:pPr>
              <w:spacing w:line="440" w:lineRule="exact"/>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39%</w:t>
            </w:r>
          </w:p>
        </w:tc>
        <w:tc>
          <w:tcPr>
            <w:tcW w:w="341" w:type="dxa"/>
            <w:noWrap w:val="0"/>
            <w:vAlign w:val="top"/>
          </w:tcPr>
          <w:p>
            <w:pPr>
              <w:spacing w:line="440" w:lineRule="exact"/>
              <w:jc w:val="center"/>
              <w:rPr>
                <w:rFonts w:hint="default"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8</w:t>
            </w:r>
          </w:p>
        </w:tc>
        <w:tc>
          <w:tcPr>
            <w:tcW w:w="545" w:type="dxa"/>
            <w:noWrap w:val="0"/>
            <w:vAlign w:val="top"/>
          </w:tcPr>
          <w:p>
            <w:pPr>
              <w:spacing w:line="440" w:lineRule="exact"/>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61%</w:t>
            </w:r>
          </w:p>
        </w:tc>
        <w:tc>
          <w:tcPr>
            <w:tcW w:w="447" w:type="dxa"/>
            <w:noWrap w:val="0"/>
            <w:vAlign w:val="top"/>
          </w:tcPr>
          <w:p>
            <w:pPr>
              <w:spacing w:line="440" w:lineRule="exact"/>
              <w:jc w:val="center"/>
              <w:rPr>
                <w:rFonts w:hint="default"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13</w:t>
            </w:r>
          </w:p>
        </w:tc>
        <w:tc>
          <w:tcPr>
            <w:tcW w:w="517" w:type="dxa"/>
            <w:gridSpan w:val="2"/>
            <w:noWrap w:val="0"/>
            <w:vAlign w:val="top"/>
          </w:tcPr>
          <w:p>
            <w:pPr>
              <w:spacing w:line="440" w:lineRule="exact"/>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100%</w:t>
            </w:r>
          </w:p>
        </w:tc>
        <w:tc>
          <w:tcPr>
            <w:tcW w:w="327" w:type="dxa"/>
            <w:noWrap w:val="0"/>
            <w:vAlign w:val="top"/>
          </w:tcPr>
          <w:p>
            <w:pPr>
              <w:spacing w:line="440" w:lineRule="exact"/>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0</w:t>
            </w:r>
          </w:p>
        </w:tc>
        <w:tc>
          <w:tcPr>
            <w:tcW w:w="585" w:type="dxa"/>
            <w:gridSpan w:val="2"/>
            <w:noWrap w:val="0"/>
            <w:vAlign w:val="top"/>
          </w:tcPr>
          <w:p>
            <w:pPr>
              <w:spacing w:line="440" w:lineRule="exact"/>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0</w:t>
            </w:r>
          </w:p>
        </w:tc>
        <w:tc>
          <w:tcPr>
            <w:tcW w:w="406" w:type="dxa"/>
            <w:noWrap w:val="0"/>
            <w:vAlign w:val="top"/>
          </w:tcPr>
          <w:p>
            <w:pPr>
              <w:spacing w:line="440" w:lineRule="exact"/>
              <w:jc w:val="center"/>
              <w:rPr>
                <w:rFonts w:hint="default"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3</w:t>
            </w:r>
          </w:p>
        </w:tc>
        <w:tc>
          <w:tcPr>
            <w:tcW w:w="635" w:type="dxa"/>
            <w:gridSpan w:val="2"/>
            <w:noWrap w:val="0"/>
            <w:vAlign w:val="top"/>
          </w:tcPr>
          <w:p>
            <w:pPr>
              <w:spacing w:line="440" w:lineRule="exact"/>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23%</w:t>
            </w:r>
          </w:p>
        </w:tc>
        <w:tc>
          <w:tcPr>
            <w:tcW w:w="386" w:type="dxa"/>
            <w:noWrap w:val="0"/>
            <w:vAlign w:val="top"/>
          </w:tcPr>
          <w:p>
            <w:pPr>
              <w:spacing w:line="440" w:lineRule="exact"/>
              <w:jc w:val="center"/>
              <w:rPr>
                <w:rFonts w:hint="default"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2</w:t>
            </w:r>
          </w:p>
        </w:tc>
        <w:tc>
          <w:tcPr>
            <w:tcW w:w="635" w:type="dxa"/>
            <w:gridSpan w:val="2"/>
            <w:noWrap w:val="0"/>
            <w:vAlign w:val="top"/>
          </w:tcPr>
          <w:p>
            <w:pPr>
              <w:spacing w:line="440" w:lineRule="exact"/>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16%</w:t>
            </w:r>
          </w:p>
        </w:tc>
        <w:tc>
          <w:tcPr>
            <w:tcW w:w="446" w:type="dxa"/>
            <w:noWrap w:val="0"/>
            <w:vAlign w:val="top"/>
          </w:tcPr>
          <w:p>
            <w:pPr>
              <w:spacing w:line="440" w:lineRule="exact"/>
              <w:jc w:val="center"/>
              <w:rPr>
                <w:rFonts w:hint="default"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11</w:t>
            </w:r>
          </w:p>
        </w:tc>
        <w:tc>
          <w:tcPr>
            <w:tcW w:w="634" w:type="dxa"/>
            <w:gridSpan w:val="2"/>
            <w:noWrap w:val="0"/>
            <w:vAlign w:val="top"/>
          </w:tcPr>
          <w:p>
            <w:pPr>
              <w:spacing w:line="440" w:lineRule="exact"/>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84%</w:t>
            </w:r>
          </w:p>
        </w:tc>
        <w:tc>
          <w:tcPr>
            <w:tcW w:w="426" w:type="dxa"/>
            <w:noWrap w:val="0"/>
            <w:vAlign w:val="top"/>
          </w:tcPr>
          <w:p>
            <w:pPr>
              <w:spacing w:line="440" w:lineRule="exact"/>
              <w:jc w:val="center"/>
              <w:rPr>
                <w:rFonts w:hint="default"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0</w:t>
            </w:r>
          </w:p>
        </w:tc>
        <w:tc>
          <w:tcPr>
            <w:tcW w:w="624" w:type="dxa"/>
            <w:gridSpan w:val="2"/>
            <w:noWrap w:val="0"/>
            <w:vAlign w:val="top"/>
          </w:tcPr>
          <w:p>
            <w:pPr>
              <w:spacing w:line="440" w:lineRule="exact"/>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0%</w:t>
            </w:r>
          </w:p>
        </w:tc>
        <w:tc>
          <w:tcPr>
            <w:tcW w:w="572" w:type="dxa"/>
            <w:noWrap w:val="0"/>
            <w:vAlign w:val="top"/>
          </w:tcPr>
          <w:p>
            <w:pPr>
              <w:spacing w:line="440" w:lineRule="exact"/>
              <w:jc w:val="center"/>
              <w:rPr>
                <w:rFonts w:hint="default"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11</w:t>
            </w:r>
          </w:p>
        </w:tc>
        <w:tc>
          <w:tcPr>
            <w:tcW w:w="488" w:type="dxa"/>
            <w:gridSpan w:val="2"/>
            <w:noWrap w:val="0"/>
            <w:vAlign w:val="top"/>
          </w:tcPr>
          <w:p>
            <w:pPr>
              <w:spacing w:line="440" w:lineRule="exact"/>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84%</w:t>
            </w:r>
          </w:p>
        </w:tc>
      </w:tr>
    </w:tbl>
    <w:p>
      <w:pPr>
        <w:widowControl/>
        <w:numPr>
          <w:ilvl w:val="0"/>
          <w:numId w:val="0"/>
        </w:numPr>
        <w:jc w:val="center"/>
        <w:textAlignment w:val="center"/>
        <w:rPr>
          <w:rFonts w:hint="eastAsia" w:ascii="仿宋" w:hAnsi="仿宋" w:eastAsia="仿宋" w:cs="仿宋"/>
          <w:color w:val="auto"/>
          <w:kern w:val="0"/>
          <w:szCs w:val="21"/>
          <w:lang w:val="en-US" w:eastAsia="zh-CN"/>
        </w:rPr>
      </w:pPr>
    </w:p>
    <w:p>
      <w:pPr>
        <w:spacing w:line="620" w:lineRule="exact"/>
        <w:ind w:firstLine="643" w:firstLineChars="200"/>
        <w:outlineLvl w:val="1"/>
        <w:rPr>
          <w:rFonts w:hint="eastAsia" w:ascii="楷体_GB2312" w:eastAsia="楷体_GB2312"/>
          <w:b/>
          <w:sz w:val="32"/>
          <w:szCs w:val="32"/>
        </w:rPr>
      </w:pPr>
      <w:bookmarkStart w:id="86" w:name="_Toc2878"/>
      <w:r>
        <w:rPr>
          <w:rFonts w:hint="eastAsia" w:ascii="楷体_GB2312" w:eastAsia="楷体_GB2312"/>
          <w:b/>
          <w:sz w:val="32"/>
          <w:szCs w:val="32"/>
        </w:rPr>
        <w:t>（二）教学设施</w:t>
      </w:r>
      <w:bookmarkEnd w:id="86"/>
    </w:p>
    <w:p>
      <w:pPr>
        <w:numPr>
          <w:ilvl w:val="0"/>
          <w:numId w:val="8"/>
        </w:numPr>
        <w:spacing w:line="480" w:lineRule="exact"/>
        <w:ind w:left="936" w:hanging="420"/>
        <w:rPr>
          <w:rFonts w:hint="eastAsia" w:ascii="仿宋" w:hAnsi="仿宋" w:eastAsia="仿宋" w:cs="仿宋"/>
          <w:sz w:val="28"/>
          <w:szCs w:val="28"/>
        </w:rPr>
      </w:pPr>
      <w:r>
        <w:rPr>
          <w:rFonts w:hint="eastAsia" w:ascii="仿宋" w:hAnsi="仿宋" w:eastAsia="仿宋" w:cs="仿宋"/>
          <w:bCs/>
          <w:sz w:val="28"/>
          <w:szCs w:val="32"/>
        </w:rPr>
        <w:t xml:space="preserve">校内实训条件 </w:t>
      </w:r>
      <w:r>
        <w:rPr>
          <w:rFonts w:hint="eastAsia" w:ascii="仿宋" w:hAnsi="仿宋" w:eastAsia="仿宋" w:cs="仿宋"/>
          <w:sz w:val="28"/>
          <w:szCs w:val="28"/>
        </w:rPr>
        <w:t xml:space="preserve"> </w:t>
      </w:r>
    </w:p>
    <w:p>
      <w:pPr>
        <w:numPr>
          <w:ilvl w:val="0"/>
          <w:numId w:val="9"/>
        </w:numPr>
        <w:spacing w:line="480" w:lineRule="exact"/>
        <w:ind w:left="420" w:leftChars="0" w:hanging="420" w:firstLineChars="0"/>
        <w:rPr>
          <w:rFonts w:hint="eastAsia" w:ascii="仿宋" w:hAnsi="仿宋" w:eastAsia="仿宋" w:cs="仿宋"/>
          <w:sz w:val="30"/>
          <w:szCs w:val="30"/>
        </w:rPr>
      </w:pPr>
      <w:r>
        <w:rPr>
          <w:rFonts w:hint="eastAsia" w:ascii="仿宋" w:hAnsi="仿宋" w:eastAsia="仿宋" w:cs="仿宋"/>
          <w:sz w:val="30"/>
          <w:szCs w:val="30"/>
        </w:rPr>
        <w:t>校内实训室</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551"/>
        <w:gridCol w:w="2977"/>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01" w:type="dxa"/>
            <w:vMerge w:val="restart"/>
            <w:vAlign w:val="center"/>
          </w:tcPr>
          <w:p>
            <w:pPr>
              <w:widowControl/>
              <w:spacing w:line="560" w:lineRule="exact"/>
              <w:jc w:val="center"/>
              <w:rPr>
                <w:rFonts w:hint="eastAsia" w:ascii="仿宋" w:hAnsi="仿宋" w:eastAsia="仿宋" w:cs="仿宋"/>
                <w:bCs/>
                <w:color w:val="000000"/>
                <w:kern w:val="0"/>
                <w:sz w:val="24"/>
                <w:szCs w:val="24"/>
              </w:rPr>
            </w:pPr>
            <w:bookmarkStart w:id="102" w:name="_GoBack"/>
            <w:r>
              <w:rPr>
                <w:rFonts w:hint="eastAsia" w:ascii="仿宋" w:hAnsi="仿宋" w:eastAsia="仿宋" w:cs="仿宋"/>
                <w:sz w:val="24"/>
                <w:szCs w:val="24"/>
              </w:rPr>
              <w:t>序号</w:t>
            </w:r>
          </w:p>
        </w:tc>
        <w:tc>
          <w:tcPr>
            <w:tcW w:w="2551" w:type="dxa"/>
            <w:vMerge w:val="restart"/>
            <w:vAlign w:val="center"/>
          </w:tcPr>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实训室名称</w:t>
            </w:r>
          </w:p>
        </w:tc>
        <w:tc>
          <w:tcPr>
            <w:tcW w:w="4754" w:type="dxa"/>
            <w:gridSpan w:val="2"/>
            <w:vAlign w:val="center"/>
          </w:tcPr>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01" w:type="dxa"/>
            <w:vMerge w:val="continue"/>
            <w:vAlign w:val="center"/>
          </w:tcPr>
          <w:p>
            <w:pPr>
              <w:widowControl/>
              <w:spacing w:line="560" w:lineRule="exact"/>
              <w:jc w:val="center"/>
              <w:rPr>
                <w:rFonts w:hint="eastAsia" w:ascii="仿宋" w:hAnsi="仿宋" w:eastAsia="仿宋" w:cs="仿宋"/>
                <w:bCs/>
                <w:color w:val="000000"/>
                <w:kern w:val="0"/>
                <w:sz w:val="24"/>
                <w:szCs w:val="24"/>
              </w:rPr>
            </w:pPr>
          </w:p>
        </w:tc>
        <w:tc>
          <w:tcPr>
            <w:tcW w:w="2551" w:type="dxa"/>
            <w:vMerge w:val="continue"/>
            <w:vAlign w:val="center"/>
          </w:tcPr>
          <w:p>
            <w:pPr>
              <w:widowControl/>
              <w:spacing w:line="560" w:lineRule="exact"/>
              <w:jc w:val="center"/>
              <w:rPr>
                <w:rFonts w:hint="eastAsia" w:ascii="仿宋" w:hAnsi="仿宋" w:eastAsia="仿宋" w:cs="仿宋"/>
                <w:bCs/>
                <w:color w:val="000000"/>
                <w:kern w:val="0"/>
                <w:sz w:val="24"/>
                <w:szCs w:val="24"/>
              </w:rPr>
            </w:pPr>
          </w:p>
        </w:tc>
        <w:tc>
          <w:tcPr>
            <w:tcW w:w="2977" w:type="dxa"/>
            <w:vAlign w:val="center"/>
          </w:tcPr>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名称</w:t>
            </w:r>
          </w:p>
        </w:tc>
        <w:tc>
          <w:tcPr>
            <w:tcW w:w="1777" w:type="dxa"/>
            <w:vAlign w:val="center"/>
          </w:tcPr>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数量（台套）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01" w:type="dxa"/>
            <w:vMerge w:val="restart"/>
            <w:vAlign w:val="center"/>
          </w:tcPr>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1</w:t>
            </w:r>
          </w:p>
        </w:tc>
        <w:tc>
          <w:tcPr>
            <w:tcW w:w="2551" w:type="dxa"/>
            <w:vMerge w:val="restart"/>
          </w:tcPr>
          <w:p>
            <w:pPr>
              <w:widowControl/>
              <w:spacing w:line="560" w:lineRule="exact"/>
              <w:jc w:val="center"/>
              <w:rPr>
                <w:rFonts w:hint="eastAsia" w:ascii="仿宋" w:hAnsi="仿宋" w:eastAsia="仿宋" w:cs="仿宋"/>
                <w:bCs/>
                <w:color w:val="000000"/>
                <w:kern w:val="0"/>
                <w:sz w:val="24"/>
                <w:szCs w:val="24"/>
              </w:rPr>
            </w:pPr>
          </w:p>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汽车整车实训室</w:t>
            </w:r>
          </w:p>
        </w:tc>
        <w:tc>
          <w:tcPr>
            <w:tcW w:w="2977" w:type="dxa"/>
          </w:tcPr>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整车</w:t>
            </w:r>
          </w:p>
        </w:tc>
        <w:tc>
          <w:tcPr>
            <w:tcW w:w="1777" w:type="dxa"/>
          </w:tcPr>
          <w:p>
            <w:pPr>
              <w:widowControl/>
              <w:spacing w:line="560" w:lineRule="exact"/>
              <w:jc w:val="center"/>
              <w:rPr>
                <w:rFonts w:hint="eastAsia" w:ascii="仿宋" w:hAnsi="仿宋" w:eastAsia="仿宋" w:cs="仿宋"/>
                <w:bCs/>
                <w:color w:val="000000"/>
                <w:kern w:val="0"/>
                <w:sz w:val="24"/>
                <w:szCs w:val="24"/>
                <w:lang w:val="en-US" w:eastAsia="zh-CN"/>
              </w:rPr>
            </w:pPr>
            <w:r>
              <w:rPr>
                <w:rFonts w:hint="eastAsia" w:ascii="仿宋" w:hAnsi="仿宋" w:eastAsia="仿宋" w:cs="仿宋"/>
                <w:bCs/>
                <w:color w:val="000000"/>
                <w:kern w:val="0"/>
                <w:sz w:val="24"/>
                <w:szCs w:val="24"/>
              </w:rPr>
              <w:t>1</w:t>
            </w:r>
            <w:r>
              <w:rPr>
                <w:rFonts w:hint="eastAsia" w:ascii="仿宋" w:hAnsi="仿宋" w:eastAsia="仿宋" w:cs="仿宋"/>
                <w:bCs/>
                <w:color w:val="000000"/>
                <w:ker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01" w:type="dxa"/>
            <w:vMerge w:val="continue"/>
            <w:vAlign w:val="center"/>
          </w:tcPr>
          <w:p>
            <w:pPr>
              <w:widowControl/>
              <w:spacing w:line="560" w:lineRule="exact"/>
              <w:jc w:val="center"/>
              <w:rPr>
                <w:rFonts w:hint="eastAsia" w:ascii="仿宋" w:hAnsi="仿宋" w:eastAsia="仿宋" w:cs="仿宋"/>
                <w:bCs/>
                <w:color w:val="000000"/>
                <w:kern w:val="0"/>
                <w:sz w:val="24"/>
                <w:szCs w:val="24"/>
              </w:rPr>
            </w:pPr>
          </w:p>
        </w:tc>
        <w:tc>
          <w:tcPr>
            <w:tcW w:w="2551" w:type="dxa"/>
            <w:vMerge w:val="continue"/>
          </w:tcPr>
          <w:p>
            <w:pPr>
              <w:widowControl/>
              <w:spacing w:line="560" w:lineRule="exact"/>
              <w:jc w:val="center"/>
              <w:rPr>
                <w:rFonts w:hint="eastAsia" w:ascii="仿宋" w:hAnsi="仿宋" w:eastAsia="仿宋" w:cs="仿宋"/>
                <w:bCs/>
                <w:color w:val="000000"/>
                <w:kern w:val="0"/>
                <w:sz w:val="24"/>
                <w:szCs w:val="24"/>
              </w:rPr>
            </w:pPr>
          </w:p>
        </w:tc>
        <w:tc>
          <w:tcPr>
            <w:tcW w:w="2977" w:type="dxa"/>
          </w:tcPr>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检测线</w:t>
            </w:r>
          </w:p>
        </w:tc>
        <w:tc>
          <w:tcPr>
            <w:tcW w:w="1777" w:type="dxa"/>
          </w:tcPr>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01" w:type="dxa"/>
            <w:vMerge w:val="continue"/>
            <w:vAlign w:val="center"/>
          </w:tcPr>
          <w:p>
            <w:pPr>
              <w:widowControl/>
              <w:spacing w:line="560" w:lineRule="exact"/>
              <w:jc w:val="center"/>
              <w:rPr>
                <w:rFonts w:hint="eastAsia" w:ascii="仿宋" w:hAnsi="仿宋" w:eastAsia="仿宋" w:cs="仿宋"/>
                <w:bCs/>
                <w:color w:val="000000"/>
                <w:kern w:val="0"/>
                <w:sz w:val="24"/>
                <w:szCs w:val="24"/>
              </w:rPr>
            </w:pPr>
          </w:p>
        </w:tc>
        <w:tc>
          <w:tcPr>
            <w:tcW w:w="2551" w:type="dxa"/>
            <w:vMerge w:val="continue"/>
          </w:tcPr>
          <w:p>
            <w:pPr>
              <w:widowControl/>
              <w:spacing w:line="560" w:lineRule="exact"/>
              <w:jc w:val="center"/>
              <w:rPr>
                <w:rFonts w:hint="eastAsia" w:ascii="仿宋" w:hAnsi="仿宋" w:eastAsia="仿宋" w:cs="仿宋"/>
                <w:bCs/>
                <w:color w:val="000000"/>
                <w:kern w:val="0"/>
                <w:sz w:val="24"/>
                <w:szCs w:val="24"/>
              </w:rPr>
            </w:pPr>
          </w:p>
        </w:tc>
        <w:tc>
          <w:tcPr>
            <w:tcW w:w="2977" w:type="dxa"/>
          </w:tcPr>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尾气排放装置</w:t>
            </w:r>
          </w:p>
        </w:tc>
        <w:tc>
          <w:tcPr>
            <w:tcW w:w="1777" w:type="dxa"/>
          </w:tcPr>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701" w:type="dxa"/>
            <w:vMerge w:val="restart"/>
            <w:vAlign w:val="center"/>
          </w:tcPr>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2</w:t>
            </w:r>
          </w:p>
        </w:tc>
        <w:tc>
          <w:tcPr>
            <w:tcW w:w="2551" w:type="dxa"/>
          </w:tcPr>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汽车空调实训室</w:t>
            </w:r>
          </w:p>
        </w:tc>
        <w:tc>
          <w:tcPr>
            <w:tcW w:w="2977" w:type="dxa"/>
          </w:tcPr>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汽车空调故障诊断台架</w:t>
            </w:r>
          </w:p>
        </w:tc>
        <w:tc>
          <w:tcPr>
            <w:tcW w:w="1777" w:type="dxa"/>
          </w:tcPr>
          <w:p>
            <w:pPr>
              <w:widowControl/>
              <w:spacing w:line="560" w:lineRule="exact"/>
              <w:jc w:val="center"/>
              <w:rPr>
                <w:rFonts w:hint="eastAsia" w:ascii="仿宋" w:hAnsi="仿宋" w:eastAsia="仿宋" w:cs="仿宋"/>
                <w:bCs/>
                <w:color w:val="000000"/>
                <w:kern w:val="0"/>
                <w:sz w:val="24"/>
                <w:szCs w:val="24"/>
                <w:lang w:val="en-US" w:eastAsia="zh-CN"/>
              </w:rPr>
            </w:pPr>
            <w:r>
              <w:rPr>
                <w:rFonts w:hint="eastAsia" w:ascii="仿宋" w:hAnsi="仿宋" w:eastAsia="仿宋" w:cs="仿宋"/>
                <w:bCs/>
                <w:color w:val="000000"/>
                <w:kern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Merge w:val="continue"/>
            <w:vAlign w:val="center"/>
          </w:tcPr>
          <w:p>
            <w:pPr>
              <w:widowControl/>
              <w:spacing w:line="560" w:lineRule="exact"/>
              <w:jc w:val="center"/>
              <w:rPr>
                <w:rFonts w:hint="eastAsia" w:ascii="仿宋" w:hAnsi="仿宋" w:eastAsia="仿宋" w:cs="仿宋"/>
                <w:bCs/>
                <w:color w:val="000000"/>
                <w:kern w:val="0"/>
                <w:sz w:val="24"/>
                <w:szCs w:val="24"/>
              </w:rPr>
            </w:pPr>
          </w:p>
        </w:tc>
        <w:tc>
          <w:tcPr>
            <w:tcW w:w="2551" w:type="dxa"/>
            <w:vMerge w:val="restart"/>
          </w:tcPr>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发动机实训室</w:t>
            </w:r>
          </w:p>
        </w:tc>
        <w:tc>
          <w:tcPr>
            <w:tcW w:w="2977" w:type="dxa"/>
          </w:tcPr>
          <w:p>
            <w:pPr>
              <w:widowControl/>
              <w:spacing w:line="560" w:lineRule="exact"/>
              <w:jc w:val="center"/>
              <w:rPr>
                <w:rFonts w:hint="eastAsia" w:ascii="仿宋" w:hAnsi="仿宋" w:eastAsia="仿宋" w:cs="仿宋"/>
                <w:bCs/>
                <w:color w:val="000000"/>
                <w:kern w:val="0"/>
                <w:sz w:val="24"/>
                <w:szCs w:val="24"/>
                <w:lang w:eastAsia="zh-CN"/>
              </w:rPr>
            </w:pPr>
            <w:r>
              <w:rPr>
                <w:rFonts w:hint="eastAsia" w:ascii="仿宋" w:hAnsi="仿宋" w:eastAsia="仿宋" w:cs="仿宋"/>
                <w:bCs/>
                <w:color w:val="000000"/>
                <w:kern w:val="0"/>
                <w:sz w:val="24"/>
                <w:szCs w:val="24"/>
                <w:lang w:eastAsia="zh-CN"/>
              </w:rPr>
              <w:t>发动机故障诊断台架</w:t>
            </w:r>
          </w:p>
        </w:tc>
        <w:tc>
          <w:tcPr>
            <w:tcW w:w="1777" w:type="dxa"/>
          </w:tcPr>
          <w:p>
            <w:pPr>
              <w:widowControl/>
              <w:spacing w:line="560" w:lineRule="exact"/>
              <w:jc w:val="center"/>
              <w:rPr>
                <w:rFonts w:hint="eastAsia" w:ascii="仿宋" w:hAnsi="仿宋" w:eastAsia="仿宋" w:cs="仿宋"/>
                <w:bCs/>
                <w:color w:val="000000"/>
                <w:kern w:val="0"/>
                <w:sz w:val="24"/>
                <w:szCs w:val="24"/>
                <w:lang w:val="en-US" w:eastAsia="zh-CN"/>
              </w:rPr>
            </w:pPr>
            <w:r>
              <w:rPr>
                <w:rFonts w:hint="eastAsia" w:ascii="仿宋" w:hAnsi="仿宋" w:eastAsia="仿宋" w:cs="仿宋"/>
                <w:bCs/>
                <w:color w:val="000000"/>
                <w:kern w:val="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Align w:val="center"/>
          </w:tcPr>
          <w:p>
            <w:pPr>
              <w:widowControl/>
              <w:spacing w:line="560" w:lineRule="exact"/>
              <w:jc w:val="center"/>
              <w:rPr>
                <w:rFonts w:hint="eastAsia" w:ascii="仿宋" w:hAnsi="仿宋" w:eastAsia="仿宋" w:cs="仿宋"/>
                <w:bCs/>
                <w:color w:val="000000"/>
                <w:kern w:val="0"/>
                <w:sz w:val="24"/>
                <w:szCs w:val="24"/>
                <w:lang w:val="en-US" w:eastAsia="zh-CN"/>
              </w:rPr>
            </w:pPr>
            <w:r>
              <w:rPr>
                <w:rFonts w:hint="eastAsia" w:ascii="仿宋" w:hAnsi="仿宋" w:eastAsia="仿宋" w:cs="仿宋"/>
                <w:bCs/>
                <w:color w:val="000000"/>
                <w:kern w:val="0"/>
                <w:sz w:val="24"/>
                <w:szCs w:val="24"/>
                <w:lang w:val="en-US" w:eastAsia="zh-CN"/>
              </w:rPr>
              <w:t>3</w:t>
            </w:r>
          </w:p>
        </w:tc>
        <w:tc>
          <w:tcPr>
            <w:tcW w:w="2551" w:type="dxa"/>
            <w:vMerge w:val="continue"/>
          </w:tcPr>
          <w:p>
            <w:pPr>
              <w:widowControl/>
              <w:spacing w:line="560" w:lineRule="exact"/>
              <w:jc w:val="center"/>
              <w:rPr>
                <w:rFonts w:hint="eastAsia" w:ascii="仿宋" w:hAnsi="仿宋" w:eastAsia="仿宋" w:cs="仿宋"/>
                <w:bCs/>
                <w:color w:val="000000"/>
                <w:kern w:val="0"/>
                <w:sz w:val="24"/>
                <w:szCs w:val="24"/>
              </w:rPr>
            </w:pPr>
          </w:p>
        </w:tc>
        <w:tc>
          <w:tcPr>
            <w:tcW w:w="2977" w:type="dxa"/>
          </w:tcPr>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发动机拆装台架</w:t>
            </w:r>
          </w:p>
        </w:tc>
        <w:tc>
          <w:tcPr>
            <w:tcW w:w="1777" w:type="dxa"/>
          </w:tcPr>
          <w:p>
            <w:pPr>
              <w:widowControl/>
              <w:spacing w:line="560" w:lineRule="exact"/>
              <w:jc w:val="center"/>
              <w:rPr>
                <w:rFonts w:hint="eastAsia" w:ascii="仿宋" w:hAnsi="仿宋" w:eastAsia="仿宋" w:cs="仿宋"/>
                <w:bCs/>
                <w:color w:val="000000"/>
                <w:kern w:val="0"/>
                <w:sz w:val="24"/>
                <w:szCs w:val="24"/>
                <w:lang w:val="en-US" w:eastAsia="zh-CN"/>
              </w:rPr>
            </w:pPr>
            <w:r>
              <w:rPr>
                <w:rFonts w:hint="eastAsia" w:ascii="仿宋" w:hAnsi="仿宋" w:eastAsia="仿宋" w:cs="仿宋"/>
                <w:bCs/>
                <w:color w:val="000000"/>
                <w:kern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Align w:val="center"/>
          </w:tcPr>
          <w:p>
            <w:pPr>
              <w:widowControl/>
              <w:spacing w:line="560" w:lineRule="exact"/>
              <w:jc w:val="center"/>
              <w:rPr>
                <w:rFonts w:hint="eastAsia" w:ascii="仿宋" w:hAnsi="仿宋" w:eastAsia="仿宋" w:cs="仿宋"/>
                <w:bCs/>
                <w:color w:val="000000"/>
                <w:kern w:val="0"/>
                <w:sz w:val="24"/>
                <w:szCs w:val="24"/>
                <w:lang w:val="en-US" w:eastAsia="zh-CN"/>
              </w:rPr>
            </w:pPr>
            <w:r>
              <w:rPr>
                <w:rFonts w:hint="eastAsia" w:ascii="仿宋" w:hAnsi="仿宋" w:eastAsia="仿宋" w:cs="仿宋"/>
                <w:bCs/>
                <w:color w:val="000000"/>
                <w:kern w:val="0"/>
                <w:sz w:val="24"/>
                <w:szCs w:val="24"/>
                <w:lang w:val="en-US" w:eastAsia="zh-CN"/>
              </w:rPr>
              <w:t>4</w:t>
            </w:r>
          </w:p>
        </w:tc>
        <w:tc>
          <w:tcPr>
            <w:tcW w:w="2551" w:type="dxa"/>
          </w:tcPr>
          <w:p>
            <w:pPr>
              <w:widowControl/>
              <w:spacing w:line="560" w:lineRule="exact"/>
              <w:jc w:val="center"/>
              <w:rPr>
                <w:rFonts w:hint="eastAsia" w:ascii="仿宋" w:hAnsi="仿宋" w:eastAsia="仿宋" w:cs="仿宋"/>
                <w:bCs/>
                <w:color w:val="000000"/>
                <w:kern w:val="0"/>
                <w:sz w:val="24"/>
                <w:szCs w:val="24"/>
                <w:lang w:eastAsia="zh-CN"/>
              </w:rPr>
            </w:pPr>
            <w:r>
              <w:rPr>
                <w:rFonts w:hint="eastAsia" w:ascii="仿宋" w:hAnsi="仿宋" w:eastAsia="仿宋" w:cs="仿宋"/>
                <w:bCs/>
                <w:color w:val="000000"/>
                <w:kern w:val="0"/>
                <w:sz w:val="24"/>
                <w:szCs w:val="24"/>
                <w:lang w:eastAsia="zh-CN"/>
              </w:rPr>
              <w:t>变速器实训室</w:t>
            </w:r>
          </w:p>
        </w:tc>
        <w:tc>
          <w:tcPr>
            <w:tcW w:w="2977" w:type="dxa"/>
          </w:tcPr>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lang w:eastAsia="zh-CN"/>
              </w:rPr>
              <w:t>变速器拆装实训</w:t>
            </w:r>
            <w:r>
              <w:rPr>
                <w:rFonts w:hint="eastAsia" w:ascii="仿宋" w:hAnsi="仿宋" w:eastAsia="仿宋" w:cs="仿宋"/>
                <w:bCs/>
                <w:color w:val="000000"/>
                <w:kern w:val="0"/>
                <w:sz w:val="24"/>
                <w:szCs w:val="24"/>
              </w:rPr>
              <w:t>台架</w:t>
            </w:r>
          </w:p>
        </w:tc>
        <w:tc>
          <w:tcPr>
            <w:tcW w:w="1777" w:type="dxa"/>
          </w:tcPr>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Align w:val="center"/>
          </w:tcPr>
          <w:p>
            <w:pPr>
              <w:widowControl/>
              <w:spacing w:line="560" w:lineRule="exact"/>
              <w:jc w:val="center"/>
              <w:rPr>
                <w:rFonts w:hint="eastAsia" w:ascii="仿宋" w:hAnsi="仿宋" w:eastAsia="仿宋" w:cs="仿宋"/>
                <w:bCs/>
                <w:color w:val="000000"/>
                <w:kern w:val="0"/>
                <w:sz w:val="24"/>
                <w:szCs w:val="24"/>
                <w:lang w:val="en-US" w:eastAsia="zh-CN"/>
              </w:rPr>
            </w:pPr>
            <w:r>
              <w:rPr>
                <w:rFonts w:hint="eastAsia" w:ascii="仿宋" w:hAnsi="仿宋" w:eastAsia="仿宋" w:cs="仿宋"/>
                <w:bCs/>
                <w:color w:val="000000"/>
                <w:kern w:val="0"/>
                <w:sz w:val="24"/>
                <w:szCs w:val="24"/>
                <w:lang w:val="en-US" w:eastAsia="zh-CN"/>
              </w:rPr>
              <w:t>5</w:t>
            </w:r>
          </w:p>
        </w:tc>
        <w:tc>
          <w:tcPr>
            <w:tcW w:w="2551" w:type="dxa"/>
          </w:tcPr>
          <w:p>
            <w:pPr>
              <w:widowControl/>
              <w:spacing w:line="560" w:lineRule="exact"/>
              <w:jc w:val="center"/>
              <w:rPr>
                <w:rFonts w:hint="eastAsia" w:ascii="仿宋" w:hAnsi="仿宋" w:eastAsia="仿宋" w:cs="仿宋"/>
                <w:bCs/>
                <w:color w:val="000000"/>
                <w:kern w:val="0"/>
                <w:sz w:val="24"/>
                <w:szCs w:val="24"/>
                <w:lang w:eastAsia="zh-CN"/>
              </w:rPr>
            </w:pPr>
            <w:r>
              <w:rPr>
                <w:rFonts w:hint="eastAsia" w:ascii="仿宋" w:hAnsi="仿宋" w:eastAsia="仿宋" w:cs="仿宋"/>
                <w:bCs/>
                <w:color w:val="000000"/>
                <w:kern w:val="0"/>
                <w:sz w:val="24"/>
                <w:szCs w:val="24"/>
                <w:lang w:eastAsia="zh-CN"/>
              </w:rPr>
              <w:t>底盘实训室</w:t>
            </w:r>
          </w:p>
        </w:tc>
        <w:tc>
          <w:tcPr>
            <w:tcW w:w="2977" w:type="dxa"/>
          </w:tcPr>
          <w:p>
            <w:pPr>
              <w:widowControl/>
              <w:spacing w:line="560" w:lineRule="exact"/>
              <w:jc w:val="center"/>
              <w:rPr>
                <w:rFonts w:hint="eastAsia" w:ascii="仿宋" w:hAnsi="仿宋" w:eastAsia="仿宋" w:cs="仿宋"/>
                <w:bCs/>
                <w:color w:val="000000"/>
                <w:kern w:val="0"/>
                <w:sz w:val="24"/>
                <w:szCs w:val="24"/>
                <w:lang w:eastAsia="zh-CN"/>
              </w:rPr>
            </w:pPr>
            <w:r>
              <w:rPr>
                <w:rFonts w:hint="eastAsia" w:ascii="仿宋" w:hAnsi="仿宋" w:eastAsia="仿宋" w:cs="仿宋"/>
                <w:bCs/>
                <w:color w:val="000000"/>
                <w:kern w:val="0"/>
                <w:sz w:val="24"/>
                <w:szCs w:val="24"/>
                <w:lang w:eastAsia="zh-CN"/>
              </w:rPr>
              <w:t>底盘拆装台架</w:t>
            </w:r>
          </w:p>
        </w:tc>
        <w:tc>
          <w:tcPr>
            <w:tcW w:w="1777" w:type="dxa"/>
          </w:tcPr>
          <w:p>
            <w:pPr>
              <w:widowControl/>
              <w:spacing w:line="560" w:lineRule="exact"/>
              <w:jc w:val="center"/>
              <w:rPr>
                <w:rFonts w:hint="eastAsia" w:ascii="仿宋" w:hAnsi="仿宋" w:eastAsia="仿宋" w:cs="仿宋"/>
                <w:bCs/>
                <w:color w:val="000000"/>
                <w:kern w:val="0"/>
                <w:sz w:val="24"/>
                <w:szCs w:val="24"/>
                <w:lang w:val="en-US" w:eastAsia="zh-CN"/>
              </w:rPr>
            </w:pPr>
            <w:r>
              <w:rPr>
                <w:rFonts w:hint="eastAsia" w:ascii="仿宋" w:hAnsi="仿宋" w:eastAsia="仿宋" w:cs="仿宋"/>
                <w:bCs/>
                <w:color w:val="000000"/>
                <w:kern w:val="0"/>
                <w:sz w:val="24"/>
                <w:szCs w:val="24"/>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Align w:val="center"/>
          </w:tcPr>
          <w:p>
            <w:pPr>
              <w:widowControl/>
              <w:spacing w:line="560" w:lineRule="exact"/>
              <w:jc w:val="center"/>
              <w:rPr>
                <w:rFonts w:hint="eastAsia" w:ascii="仿宋" w:hAnsi="仿宋" w:eastAsia="仿宋" w:cs="仿宋"/>
                <w:bCs/>
                <w:color w:val="000000"/>
                <w:kern w:val="0"/>
                <w:sz w:val="24"/>
                <w:szCs w:val="24"/>
                <w:lang w:val="en-US" w:eastAsia="zh-CN"/>
              </w:rPr>
            </w:pPr>
            <w:r>
              <w:rPr>
                <w:rFonts w:hint="eastAsia" w:ascii="仿宋" w:hAnsi="仿宋" w:eastAsia="仿宋" w:cs="仿宋"/>
                <w:bCs/>
                <w:color w:val="000000"/>
                <w:kern w:val="0"/>
                <w:sz w:val="24"/>
                <w:szCs w:val="24"/>
                <w:lang w:val="en-US" w:eastAsia="zh-CN"/>
              </w:rPr>
              <w:t>6</w:t>
            </w:r>
          </w:p>
        </w:tc>
        <w:tc>
          <w:tcPr>
            <w:tcW w:w="2551" w:type="dxa"/>
          </w:tcPr>
          <w:p>
            <w:pPr>
              <w:widowControl/>
              <w:spacing w:line="560" w:lineRule="exact"/>
              <w:jc w:val="center"/>
              <w:rPr>
                <w:rFonts w:hint="eastAsia" w:ascii="仿宋" w:hAnsi="仿宋" w:eastAsia="仿宋" w:cs="仿宋"/>
                <w:bCs/>
                <w:color w:val="000000"/>
                <w:kern w:val="0"/>
                <w:sz w:val="24"/>
                <w:szCs w:val="24"/>
                <w:lang w:eastAsia="zh-CN"/>
              </w:rPr>
            </w:pPr>
            <w:r>
              <w:rPr>
                <w:rFonts w:hint="eastAsia" w:ascii="仿宋" w:hAnsi="仿宋" w:eastAsia="仿宋" w:cs="仿宋"/>
                <w:bCs/>
                <w:color w:val="000000"/>
                <w:kern w:val="0"/>
                <w:sz w:val="24"/>
                <w:szCs w:val="24"/>
                <w:lang w:eastAsia="zh-CN"/>
              </w:rPr>
              <w:t>电器实训室</w:t>
            </w:r>
          </w:p>
        </w:tc>
        <w:tc>
          <w:tcPr>
            <w:tcW w:w="2977" w:type="dxa"/>
          </w:tcPr>
          <w:p>
            <w:pPr>
              <w:widowControl/>
              <w:spacing w:line="560" w:lineRule="exact"/>
              <w:jc w:val="center"/>
              <w:rPr>
                <w:rFonts w:hint="eastAsia" w:ascii="仿宋" w:hAnsi="仿宋" w:eastAsia="仿宋" w:cs="仿宋"/>
                <w:bCs/>
                <w:color w:val="000000"/>
                <w:kern w:val="0"/>
                <w:sz w:val="24"/>
                <w:szCs w:val="24"/>
                <w:lang w:eastAsia="zh-CN"/>
              </w:rPr>
            </w:pPr>
            <w:r>
              <w:rPr>
                <w:rFonts w:hint="eastAsia" w:ascii="仿宋" w:hAnsi="仿宋" w:eastAsia="仿宋" w:cs="仿宋"/>
                <w:bCs/>
                <w:color w:val="000000"/>
                <w:kern w:val="0"/>
                <w:sz w:val="24"/>
                <w:szCs w:val="24"/>
                <w:lang w:eastAsia="zh-CN"/>
              </w:rPr>
              <w:t>汽车电器综合实训台</w:t>
            </w:r>
          </w:p>
        </w:tc>
        <w:tc>
          <w:tcPr>
            <w:tcW w:w="1777" w:type="dxa"/>
          </w:tcPr>
          <w:p>
            <w:pPr>
              <w:widowControl/>
              <w:spacing w:line="560" w:lineRule="exact"/>
              <w:jc w:val="center"/>
              <w:rPr>
                <w:rFonts w:hint="eastAsia" w:ascii="仿宋" w:hAnsi="仿宋" w:eastAsia="仿宋" w:cs="仿宋"/>
                <w:bCs/>
                <w:color w:val="000000"/>
                <w:kern w:val="0"/>
                <w:sz w:val="24"/>
                <w:szCs w:val="24"/>
                <w:lang w:val="en-US" w:eastAsia="zh-CN"/>
              </w:rPr>
            </w:pPr>
            <w:r>
              <w:rPr>
                <w:rFonts w:hint="eastAsia" w:ascii="仿宋" w:hAnsi="仿宋" w:eastAsia="仿宋" w:cs="仿宋"/>
                <w:bCs/>
                <w:color w:val="000000"/>
                <w:kern w:val="0"/>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01" w:type="dxa"/>
            <w:vAlign w:val="center"/>
          </w:tcPr>
          <w:p>
            <w:pPr>
              <w:widowControl/>
              <w:spacing w:line="560" w:lineRule="exact"/>
              <w:jc w:val="center"/>
              <w:rPr>
                <w:rFonts w:hint="eastAsia" w:ascii="仿宋" w:hAnsi="仿宋" w:eastAsia="仿宋" w:cs="仿宋"/>
                <w:bCs/>
                <w:color w:val="000000"/>
                <w:kern w:val="0"/>
                <w:sz w:val="24"/>
                <w:szCs w:val="24"/>
                <w:lang w:val="en-US" w:eastAsia="zh-CN"/>
              </w:rPr>
            </w:pPr>
            <w:r>
              <w:rPr>
                <w:rFonts w:hint="eastAsia" w:ascii="仿宋" w:hAnsi="仿宋" w:eastAsia="仿宋" w:cs="仿宋"/>
                <w:bCs/>
                <w:color w:val="000000"/>
                <w:kern w:val="0"/>
                <w:sz w:val="24"/>
                <w:szCs w:val="24"/>
                <w:lang w:val="en-US" w:eastAsia="zh-CN"/>
              </w:rPr>
              <w:t>7</w:t>
            </w:r>
          </w:p>
        </w:tc>
        <w:tc>
          <w:tcPr>
            <w:tcW w:w="2551" w:type="dxa"/>
          </w:tcPr>
          <w:p>
            <w:pPr>
              <w:widowControl/>
              <w:spacing w:line="560" w:lineRule="exact"/>
              <w:jc w:val="center"/>
              <w:rPr>
                <w:rFonts w:hint="eastAsia" w:ascii="仿宋" w:hAnsi="仿宋" w:eastAsia="仿宋" w:cs="仿宋"/>
                <w:bCs/>
                <w:color w:val="000000"/>
                <w:kern w:val="0"/>
                <w:sz w:val="24"/>
                <w:szCs w:val="24"/>
                <w:lang w:eastAsia="zh-CN"/>
              </w:rPr>
            </w:pPr>
            <w:r>
              <w:rPr>
                <w:rFonts w:hint="eastAsia" w:ascii="仿宋" w:hAnsi="仿宋" w:eastAsia="仿宋" w:cs="仿宋"/>
                <w:bCs/>
                <w:color w:val="000000"/>
                <w:kern w:val="0"/>
                <w:sz w:val="24"/>
                <w:szCs w:val="24"/>
                <w:lang w:eastAsia="zh-CN"/>
              </w:rPr>
              <w:t>电子电工实训室</w:t>
            </w:r>
          </w:p>
        </w:tc>
        <w:tc>
          <w:tcPr>
            <w:tcW w:w="2977" w:type="dxa"/>
          </w:tcPr>
          <w:p>
            <w:pPr>
              <w:widowControl/>
              <w:spacing w:line="560" w:lineRule="exact"/>
              <w:jc w:val="center"/>
              <w:rPr>
                <w:rFonts w:hint="eastAsia" w:ascii="仿宋" w:hAnsi="仿宋" w:eastAsia="仿宋" w:cs="仿宋"/>
                <w:bCs/>
                <w:color w:val="000000"/>
                <w:kern w:val="0"/>
                <w:sz w:val="24"/>
                <w:szCs w:val="24"/>
                <w:lang w:eastAsia="zh-CN"/>
              </w:rPr>
            </w:pPr>
            <w:r>
              <w:rPr>
                <w:rFonts w:hint="eastAsia" w:ascii="仿宋" w:hAnsi="仿宋" w:eastAsia="仿宋" w:cs="仿宋"/>
                <w:bCs/>
                <w:color w:val="000000"/>
                <w:kern w:val="0"/>
                <w:sz w:val="24"/>
                <w:szCs w:val="24"/>
              </w:rPr>
              <w:t>汽车电子电工实训台</w:t>
            </w:r>
          </w:p>
        </w:tc>
        <w:tc>
          <w:tcPr>
            <w:tcW w:w="1777" w:type="dxa"/>
          </w:tcPr>
          <w:p>
            <w:pPr>
              <w:widowControl/>
              <w:spacing w:line="560" w:lineRule="exact"/>
              <w:jc w:val="center"/>
              <w:rPr>
                <w:rFonts w:hint="eastAsia" w:ascii="仿宋" w:hAnsi="仿宋" w:eastAsia="仿宋" w:cs="仿宋"/>
                <w:bCs/>
                <w:color w:val="000000"/>
                <w:kern w:val="0"/>
                <w:sz w:val="24"/>
                <w:szCs w:val="24"/>
                <w:lang w:val="en-US" w:eastAsia="zh-CN"/>
              </w:rPr>
            </w:pPr>
            <w:r>
              <w:rPr>
                <w:rFonts w:hint="eastAsia" w:ascii="仿宋" w:hAnsi="仿宋" w:eastAsia="仿宋" w:cs="仿宋"/>
                <w:bCs/>
                <w:color w:val="000000"/>
                <w:kern w:val="0"/>
                <w:sz w:val="24"/>
                <w:szCs w:val="24"/>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Merge w:val="restart"/>
            <w:vAlign w:val="center"/>
          </w:tcPr>
          <w:p>
            <w:pPr>
              <w:widowControl/>
              <w:spacing w:line="560" w:lineRule="exact"/>
              <w:jc w:val="center"/>
              <w:rPr>
                <w:rFonts w:hint="eastAsia" w:ascii="仿宋" w:hAnsi="仿宋" w:eastAsia="仿宋" w:cs="仿宋"/>
                <w:bCs/>
                <w:color w:val="000000"/>
                <w:kern w:val="0"/>
                <w:sz w:val="24"/>
                <w:szCs w:val="24"/>
                <w:lang w:val="en-US" w:eastAsia="zh-CN"/>
              </w:rPr>
            </w:pPr>
            <w:r>
              <w:rPr>
                <w:rFonts w:hint="eastAsia" w:ascii="仿宋" w:hAnsi="仿宋" w:eastAsia="仿宋" w:cs="仿宋"/>
                <w:bCs/>
                <w:color w:val="000000"/>
                <w:kern w:val="0"/>
                <w:sz w:val="24"/>
                <w:szCs w:val="24"/>
                <w:lang w:val="en-US" w:eastAsia="zh-CN"/>
              </w:rPr>
              <w:t>8</w:t>
            </w:r>
          </w:p>
        </w:tc>
        <w:tc>
          <w:tcPr>
            <w:tcW w:w="2551" w:type="dxa"/>
            <w:vMerge w:val="restart"/>
          </w:tcPr>
          <w:p>
            <w:pPr>
              <w:widowControl/>
              <w:spacing w:line="560" w:lineRule="exact"/>
              <w:jc w:val="center"/>
              <w:rPr>
                <w:rFonts w:hint="eastAsia" w:ascii="仿宋" w:hAnsi="仿宋" w:eastAsia="仿宋" w:cs="仿宋"/>
                <w:bCs/>
                <w:color w:val="000000"/>
                <w:kern w:val="0"/>
                <w:sz w:val="24"/>
                <w:szCs w:val="24"/>
                <w:lang w:eastAsia="zh-CN"/>
              </w:rPr>
            </w:pPr>
            <w:r>
              <w:rPr>
                <w:rFonts w:hint="eastAsia" w:ascii="仿宋" w:hAnsi="仿宋" w:eastAsia="仿宋" w:cs="仿宋"/>
                <w:bCs/>
                <w:color w:val="000000"/>
                <w:kern w:val="0"/>
                <w:sz w:val="24"/>
                <w:szCs w:val="24"/>
                <w:lang w:eastAsia="zh-CN"/>
              </w:rPr>
              <w:t>技能大赛实训室</w:t>
            </w:r>
          </w:p>
        </w:tc>
        <w:tc>
          <w:tcPr>
            <w:tcW w:w="2977" w:type="dxa"/>
          </w:tcPr>
          <w:p>
            <w:pPr>
              <w:widowControl/>
              <w:spacing w:line="560" w:lineRule="exact"/>
              <w:jc w:val="center"/>
              <w:rPr>
                <w:rFonts w:hint="eastAsia" w:ascii="仿宋" w:hAnsi="仿宋" w:eastAsia="仿宋" w:cs="仿宋"/>
                <w:bCs/>
                <w:color w:val="000000"/>
                <w:kern w:val="0"/>
                <w:sz w:val="24"/>
                <w:szCs w:val="24"/>
                <w:lang w:eastAsia="zh-CN"/>
              </w:rPr>
            </w:pPr>
            <w:r>
              <w:rPr>
                <w:rFonts w:hint="eastAsia" w:ascii="仿宋" w:hAnsi="仿宋" w:eastAsia="仿宋" w:cs="仿宋"/>
                <w:bCs/>
                <w:color w:val="000000"/>
                <w:kern w:val="0"/>
                <w:sz w:val="24"/>
                <w:szCs w:val="24"/>
                <w:lang w:eastAsia="zh-CN"/>
              </w:rPr>
              <w:t>四轮定位仪</w:t>
            </w:r>
          </w:p>
        </w:tc>
        <w:tc>
          <w:tcPr>
            <w:tcW w:w="1777" w:type="dxa"/>
          </w:tcPr>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Merge w:val="continue"/>
            <w:vAlign w:val="center"/>
          </w:tcPr>
          <w:p>
            <w:pPr>
              <w:widowControl/>
              <w:spacing w:line="560" w:lineRule="exact"/>
              <w:jc w:val="center"/>
              <w:rPr>
                <w:rFonts w:hint="eastAsia" w:ascii="仿宋" w:hAnsi="仿宋" w:eastAsia="仿宋" w:cs="仿宋"/>
                <w:bCs/>
                <w:color w:val="000000"/>
                <w:kern w:val="0"/>
                <w:sz w:val="24"/>
                <w:szCs w:val="24"/>
              </w:rPr>
            </w:pPr>
          </w:p>
        </w:tc>
        <w:tc>
          <w:tcPr>
            <w:tcW w:w="2551" w:type="dxa"/>
            <w:vMerge w:val="continue"/>
          </w:tcPr>
          <w:p>
            <w:pPr>
              <w:widowControl/>
              <w:spacing w:line="560" w:lineRule="exact"/>
              <w:rPr>
                <w:rFonts w:hint="eastAsia" w:ascii="仿宋" w:hAnsi="仿宋" w:eastAsia="仿宋" w:cs="仿宋"/>
                <w:bCs/>
                <w:color w:val="000000"/>
                <w:kern w:val="0"/>
                <w:sz w:val="24"/>
                <w:szCs w:val="24"/>
              </w:rPr>
            </w:pPr>
          </w:p>
        </w:tc>
        <w:tc>
          <w:tcPr>
            <w:tcW w:w="2977" w:type="dxa"/>
          </w:tcPr>
          <w:p>
            <w:pPr>
              <w:widowControl/>
              <w:spacing w:line="560" w:lineRule="exact"/>
              <w:jc w:val="center"/>
              <w:rPr>
                <w:rFonts w:hint="eastAsia" w:ascii="仿宋" w:hAnsi="仿宋" w:eastAsia="仿宋" w:cs="仿宋"/>
                <w:bCs/>
                <w:color w:val="000000"/>
                <w:kern w:val="0"/>
                <w:sz w:val="24"/>
                <w:szCs w:val="24"/>
                <w:lang w:eastAsia="zh-CN"/>
              </w:rPr>
            </w:pPr>
            <w:r>
              <w:rPr>
                <w:rFonts w:hint="eastAsia" w:ascii="仿宋" w:hAnsi="仿宋" w:eastAsia="仿宋" w:cs="仿宋"/>
                <w:bCs/>
                <w:color w:val="000000"/>
                <w:kern w:val="0"/>
                <w:sz w:val="24"/>
                <w:szCs w:val="24"/>
                <w:lang w:eastAsia="zh-CN"/>
              </w:rPr>
              <w:t>整车</w:t>
            </w:r>
          </w:p>
        </w:tc>
        <w:tc>
          <w:tcPr>
            <w:tcW w:w="1777" w:type="dxa"/>
          </w:tcPr>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Align w:val="center"/>
          </w:tcPr>
          <w:p>
            <w:pPr>
              <w:widowControl/>
              <w:spacing w:line="560" w:lineRule="exact"/>
              <w:jc w:val="center"/>
              <w:rPr>
                <w:rFonts w:hint="eastAsia" w:ascii="仿宋" w:hAnsi="仿宋" w:eastAsia="仿宋" w:cs="仿宋"/>
                <w:bCs/>
                <w:color w:val="000000"/>
                <w:kern w:val="0"/>
                <w:sz w:val="24"/>
                <w:szCs w:val="24"/>
                <w:lang w:val="en-US" w:eastAsia="zh-CN"/>
              </w:rPr>
            </w:pPr>
            <w:r>
              <w:rPr>
                <w:rFonts w:hint="eastAsia" w:ascii="仿宋" w:hAnsi="仿宋" w:eastAsia="仿宋" w:cs="仿宋"/>
                <w:bCs/>
                <w:color w:val="000000"/>
                <w:kern w:val="0"/>
                <w:sz w:val="24"/>
                <w:szCs w:val="24"/>
                <w:lang w:val="en-US" w:eastAsia="zh-CN"/>
              </w:rPr>
              <w:t>9</w:t>
            </w:r>
          </w:p>
        </w:tc>
        <w:tc>
          <w:tcPr>
            <w:tcW w:w="2551" w:type="dxa"/>
          </w:tcPr>
          <w:p>
            <w:pPr>
              <w:widowControl/>
              <w:spacing w:line="560" w:lineRule="exact"/>
              <w:jc w:val="center"/>
              <w:rPr>
                <w:rFonts w:hint="eastAsia" w:ascii="仿宋" w:hAnsi="仿宋" w:eastAsia="仿宋" w:cs="仿宋"/>
                <w:bCs/>
                <w:color w:val="000000"/>
                <w:kern w:val="0"/>
                <w:sz w:val="24"/>
                <w:szCs w:val="24"/>
                <w:lang w:eastAsia="zh-CN"/>
              </w:rPr>
            </w:pPr>
            <w:r>
              <w:rPr>
                <w:rFonts w:hint="eastAsia" w:ascii="仿宋" w:hAnsi="仿宋" w:eastAsia="仿宋" w:cs="仿宋"/>
                <w:bCs/>
                <w:color w:val="000000"/>
                <w:kern w:val="0"/>
                <w:sz w:val="24"/>
                <w:szCs w:val="24"/>
                <w:lang w:eastAsia="zh-CN"/>
              </w:rPr>
              <w:t>汽车涂装实训室</w:t>
            </w:r>
          </w:p>
        </w:tc>
        <w:tc>
          <w:tcPr>
            <w:tcW w:w="2977" w:type="dxa"/>
          </w:tcPr>
          <w:p>
            <w:pPr>
              <w:widowControl/>
              <w:spacing w:line="560" w:lineRule="exact"/>
              <w:jc w:val="center"/>
              <w:rPr>
                <w:rFonts w:hint="eastAsia" w:ascii="仿宋" w:hAnsi="仿宋" w:eastAsia="仿宋" w:cs="仿宋"/>
                <w:bCs/>
                <w:color w:val="000000"/>
                <w:kern w:val="0"/>
                <w:sz w:val="24"/>
                <w:szCs w:val="24"/>
                <w:lang w:eastAsia="zh-CN"/>
              </w:rPr>
            </w:pPr>
            <w:r>
              <w:rPr>
                <w:rFonts w:hint="eastAsia" w:ascii="仿宋" w:hAnsi="仿宋" w:eastAsia="仿宋" w:cs="仿宋"/>
                <w:bCs/>
                <w:color w:val="000000"/>
                <w:kern w:val="0"/>
                <w:sz w:val="24"/>
                <w:szCs w:val="24"/>
                <w:lang w:eastAsia="zh-CN"/>
              </w:rPr>
              <w:t>喷漆房、烤漆房</w:t>
            </w:r>
          </w:p>
        </w:tc>
        <w:tc>
          <w:tcPr>
            <w:tcW w:w="1777" w:type="dxa"/>
          </w:tcPr>
          <w:p>
            <w:pPr>
              <w:widowControl/>
              <w:spacing w:line="560" w:lineRule="exact"/>
              <w:jc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Align w:val="center"/>
          </w:tcPr>
          <w:p>
            <w:pPr>
              <w:widowControl/>
              <w:spacing w:line="560" w:lineRule="exact"/>
              <w:jc w:val="center"/>
              <w:rPr>
                <w:rFonts w:hint="eastAsia" w:ascii="仿宋" w:hAnsi="仿宋" w:eastAsia="仿宋" w:cs="仿宋"/>
                <w:bCs/>
                <w:color w:val="000000"/>
                <w:kern w:val="0"/>
                <w:sz w:val="24"/>
                <w:szCs w:val="24"/>
                <w:lang w:val="en-US" w:eastAsia="zh-CN"/>
              </w:rPr>
            </w:pPr>
            <w:r>
              <w:rPr>
                <w:rFonts w:hint="eastAsia" w:ascii="仿宋" w:hAnsi="仿宋" w:eastAsia="仿宋" w:cs="仿宋"/>
                <w:bCs/>
                <w:color w:val="000000"/>
                <w:kern w:val="0"/>
                <w:sz w:val="24"/>
                <w:szCs w:val="24"/>
              </w:rPr>
              <w:t>1</w:t>
            </w:r>
            <w:r>
              <w:rPr>
                <w:rFonts w:hint="eastAsia" w:ascii="仿宋" w:hAnsi="仿宋" w:eastAsia="仿宋" w:cs="仿宋"/>
                <w:bCs/>
                <w:color w:val="000000"/>
                <w:kern w:val="0"/>
                <w:sz w:val="24"/>
                <w:szCs w:val="24"/>
                <w:lang w:val="en-US" w:eastAsia="zh-CN"/>
              </w:rPr>
              <w:t>0</w:t>
            </w:r>
          </w:p>
        </w:tc>
        <w:tc>
          <w:tcPr>
            <w:tcW w:w="2551" w:type="dxa"/>
          </w:tcPr>
          <w:p>
            <w:pPr>
              <w:widowControl/>
              <w:spacing w:line="560" w:lineRule="exact"/>
              <w:jc w:val="center"/>
              <w:rPr>
                <w:rFonts w:hint="eastAsia" w:ascii="仿宋" w:hAnsi="仿宋" w:eastAsia="仿宋" w:cs="仿宋"/>
                <w:bCs/>
                <w:color w:val="000000"/>
                <w:kern w:val="0"/>
                <w:sz w:val="24"/>
                <w:szCs w:val="24"/>
                <w:lang w:eastAsia="zh-CN"/>
              </w:rPr>
            </w:pPr>
            <w:r>
              <w:rPr>
                <w:rFonts w:hint="eastAsia" w:ascii="仿宋" w:hAnsi="仿宋" w:eastAsia="仿宋" w:cs="仿宋"/>
                <w:bCs/>
                <w:color w:val="000000"/>
                <w:kern w:val="0"/>
                <w:sz w:val="24"/>
                <w:szCs w:val="24"/>
                <w:lang w:eastAsia="zh-CN"/>
              </w:rPr>
              <w:t>汽车美容实训室</w:t>
            </w:r>
          </w:p>
        </w:tc>
        <w:tc>
          <w:tcPr>
            <w:tcW w:w="2977" w:type="dxa"/>
          </w:tcPr>
          <w:p>
            <w:pPr>
              <w:widowControl/>
              <w:spacing w:line="560" w:lineRule="exact"/>
              <w:jc w:val="center"/>
              <w:rPr>
                <w:rFonts w:hint="eastAsia" w:ascii="仿宋" w:hAnsi="仿宋" w:eastAsia="仿宋" w:cs="仿宋"/>
                <w:bCs/>
                <w:color w:val="000000"/>
                <w:kern w:val="0"/>
                <w:sz w:val="24"/>
                <w:szCs w:val="24"/>
                <w:lang w:val="en-US" w:eastAsia="zh-CN"/>
              </w:rPr>
            </w:pPr>
            <w:r>
              <w:rPr>
                <w:rFonts w:hint="eastAsia" w:ascii="仿宋" w:hAnsi="仿宋" w:eastAsia="仿宋" w:cs="仿宋"/>
                <w:bCs/>
                <w:color w:val="000000"/>
                <w:kern w:val="0"/>
                <w:sz w:val="24"/>
                <w:szCs w:val="24"/>
                <w:lang w:eastAsia="zh-CN"/>
              </w:rPr>
              <w:t>汽车</w:t>
            </w:r>
            <w:r>
              <w:rPr>
                <w:rFonts w:hint="eastAsia" w:ascii="仿宋" w:hAnsi="仿宋" w:eastAsia="仿宋" w:cs="仿宋"/>
                <w:bCs/>
                <w:color w:val="000000"/>
                <w:kern w:val="0"/>
                <w:sz w:val="24"/>
                <w:szCs w:val="24"/>
                <w:lang w:val="en-US" w:eastAsia="zh-CN"/>
              </w:rPr>
              <w:t>6合一清理鼓</w:t>
            </w:r>
          </w:p>
        </w:tc>
        <w:tc>
          <w:tcPr>
            <w:tcW w:w="1777" w:type="dxa"/>
          </w:tcPr>
          <w:p>
            <w:pPr>
              <w:widowControl/>
              <w:spacing w:line="560" w:lineRule="exact"/>
              <w:jc w:val="center"/>
              <w:rPr>
                <w:rFonts w:hint="eastAsia" w:ascii="仿宋" w:hAnsi="仿宋" w:eastAsia="仿宋" w:cs="仿宋"/>
                <w:bCs/>
                <w:color w:val="000000"/>
                <w:kern w:val="0"/>
                <w:sz w:val="24"/>
                <w:szCs w:val="24"/>
                <w:lang w:val="en-US" w:eastAsia="zh-CN"/>
              </w:rPr>
            </w:pPr>
            <w:r>
              <w:rPr>
                <w:rFonts w:hint="eastAsia" w:ascii="仿宋" w:hAnsi="仿宋" w:eastAsia="仿宋" w:cs="仿宋"/>
                <w:bCs/>
                <w:color w:val="000000"/>
                <w:kern w:val="0"/>
                <w:sz w:val="24"/>
                <w:szCs w:val="24"/>
                <w:lang w:val="en-US" w:eastAsia="zh-CN"/>
              </w:rPr>
              <w:t>2</w:t>
            </w:r>
          </w:p>
        </w:tc>
      </w:tr>
      <w:bookmarkEnd w:id="102"/>
    </w:tbl>
    <w:p>
      <w:pPr>
        <w:spacing w:line="480" w:lineRule="exact"/>
        <w:rPr>
          <w:rFonts w:hint="eastAsia" w:ascii="仿宋" w:hAnsi="仿宋" w:eastAsia="仿宋" w:cs="仿宋"/>
          <w:bCs/>
          <w:sz w:val="28"/>
          <w:szCs w:val="32"/>
        </w:rPr>
      </w:pPr>
    </w:p>
    <w:p>
      <w:pPr>
        <w:numPr>
          <w:ilvl w:val="0"/>
          <w:numId w:val="8"/>
        </w:numPr>
        <w:spacing w:line="480" w:lineRule="exact"/>
        <w:ind w:left="936" w:hanging="420"/>
        <w:rPr>
          <w:rFonts w:hint="eastAsia" w:ascii="仿宋" w:hAnsi="仿宋" w:eastAsia="仿宋" w:cs="仿宋"/>
          <w:bCs/>
          <w:sz w:val="28"/>
          <w:szCs w:val="32"/>
        </w:rPr>
      </w:pPr>
      <w:r>
        <w:rPr>
          <w:rFonts w:hint="eastAsia" w:ascii="仿宋" w:hAnsi="仿宋" w:eastAsia="仿宋" w:cs="仿宋"/>
          <w:bCs/>
          <w:sz w:val="28"/>
          <w:szCs w:val="32"/>
        </w:rPr>
        <w:t>校</w:t>
      </w:r>
      <w:r>
        <w:rPr>
          <w:rFonts w:hint="eastAsia" w:ascii="仿宋" w:hAnsi="仿宋" w:eastAsia="仿宋" w:cs="仿宋"/>
          <w:bCs/>
          <w:sz w:val="28"/>
          <w:szCs w:val="32"/>
          <w:lang w:val="en-US" w:eastAsia="zh-CN"/>
        </w:rPr>
        <w:t>外</w:t>
      </w:r>
      <w:r>
        <w:rPr>
          <w:rFonts w:hint="eastAsia" w:ascii="仿宋" w:hAnsi="仿宋" w:eastAsia="仿宋" w:cs="仿宋"/>
          <w:bCs/>
          <w:sz w:val="28"/>
          <w:szCs w:val="32"/>
        </w:rPr>
        <w:t xml:space="preserve">实训条件  </w:t>
      </w:r>
    </w:p>
    <w:p>
      <w:pPr>
        <w:spacing w:line="480" w:lineRule="exact"/>
        <w:jc w:val="center"/>
        <w:rPr>
          <w:rFonts w:hint="eastAsia" w:ascii="仿宋" w:hAnsi="仿宋" w:eastAsia="仿宋" w:cs="仿宋"/>
          <w:sz w:val="28"/>
          <w:szCs w:val="28"/>
        </w:rPr>
      </w:pPr>
      <w:r>
        <w:rPr>
          <w:rFonts w:hint="eastAsia" w:ascii="仿宋" w:hAnsi="仿宋" w:eastAsia="仿宋" w:cs="仿宋"/>
          <w:kern w:val="1"/>
          <w:sz w:val="24"/>
          <w:szCs w:val="28"/>
        </w:rPr>
        <w:t>表1</w:t>
      </w:r>
      <w:r>
        <w:rPr>
          <w:rFonts w:hint="eastAsia" w:ascii="仿宋" w:hAnsi="仿宋" w:eastAsia="仿宋" w:cs="仿宋"/>
          <w:kern w:val="1"/>
          <w:sz w:val="24"/>
          <w:szCs w:val="28"/>
          <w:lang w:val="en-US" w:eastAsia="zh-CN"/>
        </w:rPr>
        <w:t>9</w:t>
      </w:r>
      <w:r>
        <w:rPr>
          <w:rFonts w:hint="eastAsia" w:ascii="仿宋" w:hAnsi="仿宋" w:eastAsia="仿宋" w:cs="仿宋"/>
          <w:kern w:val="1"/>
          <w:sz w:val="24"/>
          <w:szCs w:val="28"/>
        </w:rPr>
        <w:t>：汽车运用与维修专业校外实训基地</w:t>
      </w:r>
    </w:p>
    <w:tbl>
      <w:tblPr>
        <w:tblStyle w:val="10"/>
        <w:tblW w:w="88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
        <w:gridCol w:w="2913"/>
        <w:gridCol w:w="270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序号</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合作企业</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可提供的只要实习岗位</w:t>
            </w:r>
          </w:p>
        </w:tc>
        <w:tc>
          <w:tcPr>
            <w:tcW w:w="2410"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可接受学生数量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1</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常德东亚汽车服务有限公司</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汽车销售、机修、钣金、美容等</w:t>
            </w:r>
          </w:p>
        </w:tc>
        <w:tc>
          <w:tcPr>
            <w:tcW w:w="2410"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30人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2</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福田汽车长沙汽车厂</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汽车制造</w:t>
            </w:r>
          </w:p>
        </w:tc>
        <w:tc>
          <w:tcPr>
            <w:tcW w:w="2410"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100人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3</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江铃汽车厂</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汽车制造</w:t>
            </w:r>
          </w:p>
        </w:tc>
        <w:tc>
          <w:tcPr>
            <w:tcW w:w="2410"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100人-200人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4</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重庆长华线束有限公司</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汽车制造</w:t>
            </w:r>
          </w:p>
        </w:tc>
        <w:tc>
          <w:tcPr>
            <w:tcW w:w="2410"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200人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5</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松桃秀阳维修厂</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汽车维修、保养、美容、钣金等</w:t>
            </w:r>
          </w:p>
        </w:tc>
        <w:tc>
          <w:tcPr>
            <w:tcW w:w="2410"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10人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6</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松桃景源养护中心</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汽车维修、美容、钣金</w:t>
            </w:r>
          </w:p>
        </w:tc>
        <w:tc>
          <w:tcPr>
            <w:tcW w:w="2410"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hint="eastAsia" w:ascii="仿宋" w:hAnsi="仿宋" w:eastAsia="仿宋" w:cs="仿宋"/>
                <w:sz w:val="24"/>
                <w:szCs w:val="28"/>
                <w:lang w:val="en-US" w:eastAsia="zh-CN"/>
              </w:rPr>
            </w:pPr>
            <w:bookmarkStart w:id="87" w:name="_Toc13670"/>
            <w:r>
              <w:rPr>
                <w:rFonts w:hint="eastAsia" w:ascii="仿宋" w:hAnsi="仿宋" w:eastAsia="仿宋" w:cs="仿宋"/>
                <w:sz w:val="24"/>
                <w:szCs w:val="28"/>
                <w:lang w:val="en-US" w:eastAsia="zh-CN"/>
              </w:rPr>
              <w:t>7</w:t>
            </w:r>
          </w:p>
        </w:tc>
        <w:tc>
          <w:tcPr>
            <w:tcW w:w="2913" w:type="dxa"/>
            <w:noWrap w:val="0"/>
            <w:vAlign w:val="center"/>
          </w:tcPr>
          <w:p>
            <w:pPr>
              <w:spacing w:line="480" w:lineRule="exact"/>
              <w:jc w:val="center"/>
              <w:rPr>
                <w:rFonts w:hint="eastAsia" w:ascii="仿宋" w:hAnsi="仿宋" w:eastAsia="仿宋" w:cs="仿宋"/>
                <w:sz w:val="24"/>
                <w:szCs w:val="28"/>
                <w:lang w:eastAsia="zh-CN"/>
              </w:rPr>
            </w:pPr>
            <w:r>
              <w:rPr>
                <w:rFonts w:hint="eastAsia" w:ascii="仿宋" w:hAnsi="仿宋" w:eastAsia="仿宋" w:cs="仿宋"/>
                <w:sz w:val="24"/>
                <w:szCs w:val="28"/>
                <w:lang w:eastAsia="zh-CN"/>
              </w:rPr>
              <w:t>安徽奇瑞制造有限公司</w:t>
            </w:r>
          </w:p>
        </w:tc>
        <w:tc>
          <w:tcPr>
            <w:tcW w:w="2705" w:type="dxa"/>
            <w:noWrap w:val="0"/>
            <w:vAlign w:val="center"/>
          </w:tcPr>
          <w:p>
            <w:pPr>
              <w:spacing w:line="480" w:lineRule="exact"/>
              <w:jc w:val="center"/>
              <w:rPr>
                <w:rFonts w:hint="eastAsia" w:ascii="仿宋" w:hAnsi="仿宋" w:eastAsia="仿宋" w:cs="仿宋"/>
                <w:sz w:val="24"/>
                <w:szCs w:val="28"/>
                <w:lang w:eastAsia="zh-CN"/>
              </w:rPr>
            </w:pPr>
            <w:r>
              <w:rPr>
                <w:rFonts w:hint="eastAsia" w:ascii="仿宋" w:hAnsi="仿宋" w:eastAsia="仿宋" w:cs="仿宋"/>
                <w:sz w:val="24"/>
                <w:szCs w:val="28"/>
                <w:lang w:eastAsia="zh-CN"/>
              </w:rPr>
              <w:t>汽车制造</w:t>
            </w:r>
          </w:p>
        </w:tc>
        <w:tc>
          <w:tcPr>
            <w:tcW w:w="2410" w:type="dxa"/>
            <w:noWrap w:val="0"/>
            <w:vAlign w:val="center"/>
          </w:tcPr>
          <w:p>
            <w:pPr>
              <w:spacing w:line="480" w:lineRule="exact"/>
              <w:jc w:val="center"/>
              <w:rPr>
                <w:rFonts w:hint="default" w:ascii="仿宋" w:hAnsi="仿宋" w:eastAsia="仿宋" w:cs="仿宋"/>
                <w:sz w:val="24"/>
                <w:szCs w:val="28"/>
                <w:lang w:val="en-US" w:eastAsia="zh-CN"/>
              </w:rPr>
            </w:pPr>
            <w:r>
              <w:rPr>
                <w:rFonts w:hint="eastAsia" w:ascii="仿宋" w:hAnsi="仿宋" w:eastAsia="仿宋" w:cs="仿宋"/>
                <w:sz w:val="24"/>
                <w:szCs w:val="28"/>
                <w:lang w:val="en-US" w:eastAsia="zh-CN"/>
              </w:rPr>
              <w:t>100-300人</w:t>
            </w:r>
          </w:p>
        </w:tc>
      </w:tr>
    </w:tbl>
    <w:p>
      <w:pPr>
        <w:spacing w:line="620" w:lineRule="exact"/>
        <w:ind w:firstLine="643" w:firstLineChars="200"/>
        <w:outlineLvl w:val="1"/>
        <w:rPr>
          <w:rFonts w:hint="eastAsia" w:ascii="楷体_GB2312" w:eastAsia="楷体_GB2312"/>
          <w:b/>
          <w:sz w:val="32"/>
          <w:szCs w:val="32"/>
        </w:rPr>
      </w:pPr>
      <w:r>
        <w:rPr>
          <w:rFonts w:hint="eastAsia" w:ascii="楷体_GB2312" w:eastAsia="楷体_GB2312"/>
          <w:b/>
          <w:sz w:val="32"/>
          <w:szCs w:val="32"/>
        </w:rPr>
        <w:t>（三）教学资源</w:t>
      </w:r>
      <w:bookmarkEnd w:id="87"/>
    </w:p>
    <w:p>
      <w:pP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pPr>
      <w:r>
        <w:rPr>
          <w:rFonts w:hint="eastAsia" w:ascii="仿宋_GB2312" w:eastAsia="仿宋" w:cstheme="minorBidi"/>
          <w:color w:val="000000" w:themeColor="text1"/>
          <w:kern w:val="2"/>
          <w:sz w:val="24"/>
          <w:szCs w:val="24"/>
          <w:lang w:val="en-US" w:eastAsia="zh-CN" w:bidi="ar-SA"/>
          <w14:textFill>
            <w14:solidFill>
              <w14:schemeClr w14:val="tx1"/>
            </w14:solidFill>
          </w14:textFill>
        </w:rPr>
        <w:tab/>
      </w:r>
      <w:r>
        <w:rPr>
          <w:rFonts w:hint="eastAsia" w:ascii="仿宋_GB2312" w:eastAsia="仿宋" w:cstheme="minorBidi"/>
          <w:color w:val="000000" w:themeColor="text1"/>
          <w:kern w:val="2"/>
          <w:sz w:val="24"/>
          <w:szCs w:val="24"/>
          <w:lang w:val="en-US" w:eastAsia="zh-CN" w:bidi="ar-SA"/>
          <w14:textFill>
            <w14:solidFill>
              <w14:schemeClr w14:val="tx1"/>
            </w14:solidFill>
          </w14:textFill>
        </w:rPr>
        <w:t xml:space="preserve"> </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1.学校现有教学图书23万多册（其中纸质图书17万册，电子图书6万册），学校每年都有订购专业图书的相关预算，保障专业图书满足教师和学生的学习需求。</w:t>
      </w:r>
    </w:p>
    <w:p>
      <w:pPr>
        <w:ind w:firstLine="560" w:firstLineChars="0"/>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pP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ind w:firstLine="560" w:firstLineChars="0"/>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pP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3.在教材选用方面严格选取国家规划教材或按照学习领域教学需要编写特色教材。鼓励教师针对学生学情编选适合</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的</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教材,倡导专业教师开发符合区域特色发展需要</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适应于学生认知规律和课程设置要求</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教学方法灵活</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突出</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理实</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一体化的校本教材。教材内容要切合当前当地的实际情况，符合本专</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业</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培养目标，突出科学性、先进性和实用性。</w:t>
      </w:r>
    </w:p>
    <w:p>
      <w:pPr>
        <w:ind w:firstLine="560" w:firstLineChars="0"/>
        <w:jc w:val="center"/>
        <w:rPr>
          <w:rFonts w:hint="eastAsia" w:ascii="仿宋_GB2312" w:eastAsia="仿宋" w:hAnsiTheme="minorHAnsi" w:cstheme="minorBidi"/>
          <w:color w:val="auto"/>
          <w:kern w:val="2"/>
          <w:sz w:val="24"/>
          <w:szCs w:val="24"/>
          <w:lang w:val="en-US" w:eastAsia="zh-CN" w:bidi="ar-SA"/>
        </w:rPr>
      </w:pPr>
      <w:r>
        <w:rPr>
          <w:rFonts w:hint="eastAsia" w:ascii="仿宋" w:hAnsi="仿宋" w:eastAsia="仿宋" w:cs="仿宋"/>
          <w:b w:val="0"/>
          <w:bCs w:val="0"/>
          <w:color w:val="auto"/>
          <w:sz w:val="24"/>
          <w:szCs w:val="24"/>
          <w:lang w:val="en-US" w:eastAsia="zh-CN"/>
        </w:rPr>
        <w:t>表20：</w:t>
      </w:r>
      <w:r>
        <w:rPr>
          <w:rFonts w:hint="eastAsia" w:ascii="仿宋_GB2312" w:eastAsia="仿宋_GB2312" w:cstheme="minorBidi"/>
          <w:color w:val="auto"/>
          <w:kern w:val="2"/>
          <w:sz w:val="24"/>
          <w:szCs w:val="24"/>
          <w:lang w:val="en-US" w:eastAsia="zh-CN" w:bidi="ar-SA"/>
        </w:rPr>
        <w:t>汽车运用与维修专业教材选用一览表</w:t>
      </w:r>
    </w:p>
    <w:tbl>
      <w:tblPr>
        <w:tblStyle w:val="10"/>
        <w:tblW w:w="9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4830"/>
        <w:gridCol w:w="4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both"/>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序号</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教册名称</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网址或出版社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汽车文化</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2</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汽车机械基础</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北京理工大学出版社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3</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汽车电工电子基础</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北京理工大学出版社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4</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汽车发动机构造与拆装</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5</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汽车底盘构造与拆装</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6</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汽车定期维护（一）</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7</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汽车发动机机械维修</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8</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汽车传动系统维修</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北京理工大学出版社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9</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汽车悬挂、转向与制动系统维修</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10</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汽车发动机电器与控制系统检修</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北京理工大学出版社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11</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汽车车身电气设备检修</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12</w:t>
            </w:r>
          </w:p>
        </w:tc>
        <w:tc>
          <w:tcPr>
            <w:tcW w:w="4830" w:type="dxa"/>
            <w:noWrap w:val="0"/>
            <w:vAlign w:val="center"/>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汽车空调系统检修</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13</w:t>
            </w:r>
          </w:p>
        </w:tc>
        <w:tc>
          <w:tcPr>
            <w:tcW w:w="4830" w:type="dxa"/>
            <w:noWrap w:val="0"/>
            <w:vAlign w:val="center"/>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汽车定期维护（二）</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14</w:t>
            </w:r>
          </w:p>
        </w:tc>
        <w:tc>
          <w:tcPr>
            <w:tcW w:w="4830" w:type="dxa"/>
            <w:noWrap w:val="0"/>
            <w:vAlign w:val="center"/>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汽车发动机及底盘常见故障诊断与维修</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北京出版社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15</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汽车自动变速器维修</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语文出版社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16</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汽车检测与诊断技术</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北京理工大学出版社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17</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汽车检测设备的使用与维护</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语文出版社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18</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汽车维修接待实务</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北京理工大学出版社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default"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19</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汽车保险与理赔</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北京理工大学出版社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default"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20</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汽车配件营销</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北京理工大学出版社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default"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21</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汽车营销实务</w:t>
            </w:r>
          </w:p>
        </w:tc>
        <w:tc>
          <w:tcPr>
            <w:tcW w:w="4025" w:type="dxa"/>
            <w:noWrap w:val="0"/>
            <w:vAlign w:val="center"/>
          </w:tcPr>
          <w:p>
            <w:pPr>
              <w:keepNext w:val="0"/>
              <w:keepLines w:val="0"/>
              <w:widowControl/>
              <w:suppressLineNumbers w:val="0"/>
              <w:ind w:firstLine="1440" w:firstLineChars="600"/>
              <w:jc w:val="left"/>
              <w:textAlignment w:val="center"/>
              <w:rPr>
                <w:rFonts w:hint="eastAsia" w:ascii="Times New Roman" w:hAnsi="Times New Roman" w:eastAsia="宋体" w:cs="Times New Roman"/>
                <w:i w:val="0"/>
                <w:color w:val="auto"/>
                <w:kern w:val="2"/>
                <w:sz w:val="24"/>
                <w:szCs w:val="24"/>
                <w:u w:val="none"/>
                <w:lang w:val="en-US" w:eastAsia="zh-CN" w:bidi="ar-SA"/>
              </w:rPr>
            </w:pPr>
            <w:r>
              <w:rPr>
                <w:rFonts w:hint="eastAsia" w:ascii="仿宋_GB2312" w:eastAsia="仿宋_GB2312" w:cstheme="minorBidi"/>
                <w:color w:val="auto"/>
                <w:kern w:val="2"/>
                <w:sz w:val="24"/>
                <w:szCs w:val="24"/>
                <w:lang w:val="en-US" w:eastAsia="zh-CN" w:bidi="ar-SA"/>
              </w:rPr>
              <w:t>教育科学出版社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default"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22</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highlight w:val="none"/>
                <w:lang w:val="en-US" w:eastAsia="zh-CN" w:bidi="ar-SA"/>
              </w:rPr>
              <w:t>汽车美容与装潢</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浙江大学出版社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default"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23</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心理健康</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default"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24</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汽车专业英语</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default"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25</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汽车美容</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北京理工大学出版社</w:t>
            </w:r>
          </w:p>
        </w:tc>
      </w:tr>
    </w:tbl>
    <w:p>
      <w:pPr>
        <w:numPr>
          <w:ilvl w:val="0"/>
          <w:numId w:val="0"/>
        </w:numPr>
        <w:spacing w:line="620" w:lineRule="exact"/>
        <w:jc w:val="center"/>
        <w:rPr>
          <w:rFonts w:hint="eastAsia" w:ascii="仿宋_GB2312" w:eastAsia="仿宋_GB2312" w:cstheme="minorBidi"/>
          <w:color w:val="auto"/>
          <w:kern w:val="2"/>
          <w:sz w:val="24"/>
          <w:szCs w:val="24"/>
          <w:lang w:val="en-US" w:eastAsia="zh-CN" w:bidi="ar-SA"/>
        </w:rPr>
      </w:pPr>
    </w:p>
    <w:p>
      <w:pPr>
        <w:numPr>
          <w:ilvl w:val="0"/>
          <w:numId w:val="0"/>
        </w:numPr>
        <w:spacing w:line="620" w:lineRule="exact"/>
        <w:jc w:val="center"/>
        <w:rPr>
          <w:rFonts w:hint="eastAsia" w:ascii="仿宋_GB2312" w:eastAsia="仿宋_GB2312" w:cstheme="minorBidi"/>
          <w:color w:val="000000" w:themeColor="text1"/>
          <w:kern w:val="2"/>
          <w:sz w:val="24"/>
          <w:szCs w:val="24"/>
          <w:lang w:val="en-US" w:eastAsia="zh-CN" w:bidi="ar-SA"/>
          <w14:textFill>
            <w14:solidFill>
              <w14:schemeClr w14:val="tx1"/>
            </w14:solidFill>
          </w14:textFill>
        </w:rPr>
      </w:pPr>
    </w:p>
    <w:p>
      <w:pPr>
        <w:numPr>
          <w:ilvl w:val="0"/>
          <w:numId w:val="0"/>
        </w:numPr>
        <w:spacing w:line="620" w:lineRule="exact"/>
        <w:jc w:val="center"/>
        <w:rPr>
          <w:rFonts w:hint="default" w:ascii="仿宋_GB2312" w:eastAsia="仿宋_GB2312" w:cstheme="minorBidi"/>
          <w:color w:val="000000" w:themeColor="text1"/>
          <w:kern w:val="2"/>
          <w:sz w:val="24"/>
          <w:szCs w:val="24"/>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4"/>
          <w:szCs w:val="24"/>
          <w:lang w:val="en-US" w:eastAsia="zh-CN" w:bidi="ar-SA"/>
          <w14:textFill>
            <w14:solidFill>
              <w14:schemeClr w14:val="tx1"/>
            </w14:solidFill>
          </w14:textFill>
        </w:rPr>
        <w:t>表21：教学参考文献资源</w:t>
      </w:r>
    </w:p>
    <w:tbl>
      <w:tblPr>
        <w:tblStyle w:val="11"/>
        <w:tblW w:w="9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
        <w:gridCol w:w="1698"/>
        <w:gridCol w:w="6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 w:type="dxa"/>
          </w:tcPr>
          <w:p>
            <w:pPr>
              <w:numPr>
                <w:ilvl w:val="0"/>
                <w:numId w:val="0"/>
              </w:numPr>
              <w:spacing w:line="620" w:lineRule="exact"/>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序号</w:t>
            </w:r>
          </w:p>
        </w:tc>
        <w:tc>
          <w:tcPr>
            <w:tcW w:w="1698" w:type="dxa"/>
          </w:tcPr>
          <w:p>
            <w:pPr>
              <w:numPr>
                <w:ilvl w:val="0"/>
                <w:numId w:val="0"/>
              </w:numPr>
              <w:spacing w:line="620" w:lineRule="exact"/>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课程名称</w:t>
            </w:r>
          </w:p>
        </w:tc>
        <w:tc>
          <w:tcPr>
            <w:tcW w:w="6877"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040"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1</w:t>
            </w:r>
          </w:p>
        </w:tc>
        <w:tc>
          <w:tcPr>
            <w:tcW w:w="1698"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color w:val="auto"/>
                <w:sz w:val="21"/>
                <w:szCs w:val="21"/>
                <w:vertAlign w:val="baseline"/>
                <w:lang w:val="en-US" w:eastAsia="zh-CN"/>
              </w:rPr>
              <w:t>汽车空调系统检修</w:t>
            </w:r>
          </w:p>
        </w:tc>
        <w:tc>
          <w:tcPr>
            <w:tcW w:w="6877"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https://kns.cnki.net/kns/ViewPage/viewsave.aspx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2</w:t>
            </w:r>
          </w:p>
        </w:tc>
        <w:tc>
          <w:tcPr>
            <w:tcW w:w="1698" w:type="dxa"/>
          </w:tcPr>
          <w:p>
            <w:pPr>
              <w:numPr>
                <w:ilvl w:val="0"/>
                <w:numId w:val="0"/>
              </w:numPr>
              <w:spacing w:line="620" w:lineRule="exact"/>
              <w:jc w:val="cente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color w:val="auto"/>
                <w:sz w:val="21"/>
                <w:szCs w:val="21"/>
                <w:vertAlign w:val="baseline"/>
                <w:lang w:val="en-US" w:eastAsia="zh-CN"/>
              </w:rPr>
              <w:t>汽车发动机电器与控制系统检修</w:t>
            </w:r>
          </w:p>
        </w:tc>
        <w:tc>
          <w:tcPr>
            <w:tcW w:w="6877"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https://kns.cnki.net/kns/ViewPage/viewsave.aspx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3</w:t>
            </w:r>
          </w:p>
        </w:tc>
        <w:tc>
          <w:tcPr>
            <w:tcW w:w="1698"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color w:val="auto"/>
                <w:sz w:val="21"/>
                <w:szCs w:val="21"/>
                <w:vertAlign w:val="baseline"/>
                <w:lang w:val="en-US" w:eastAsia="zh-CN"/>
              </w:rPr>
              <w:t>汽车车身电气设备检修</w:t>
            </w:r>
          </w:p>
        </w:tc>
        <w:tc>
          <w:tcPr>
            <w:tcW w:w="6877"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https://kns.cnki.net/kns/ViewPage/viewsave.aspx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4</w:t>
            </w:r>
          </w:p>
        </w:tc>
        <w:tc>
          <w:tcPr>
            <w:tcW w:w="1698"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color w:val="auto"/>
                <w:sz w:val="21"/>
                <w:szCs w:val="21"/>
                <w:vertAlign w:val="baseline"/>
                <w:lang w:val="en-US" w:eastAsia="zh-CN"/>
              </w:rPr>
              <w:t>汽车机械基础</w:t>
            </w:r>
          </w:p>
        </w:tc>
        <w:tc>
          <w:tcPr>
            <w:tcW w:w="6877"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https://kns.cnki.net/kns/ViewPage/viewsave.aspx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5</w:t>
            </w:r>
          </w:p>
        </w:tc>
        <w:tc>
          <w:tcPr>
            <w:tcW w:w="1698"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color w:val="auto"/>
                <w:sz w:val="21"/>
                <w:szCs w:val="21"/>
                <w:vertAlign w:val="baseline"/>
                <w:lang w:val="en-US" w:eastAsia="zh-CN"/>
              </w:rPr>
              <w:t>汽车电工电子基础</w:t>
            </w:r>
          </w:p>
        </w:tc>
        <w:tc>
          <w:tcPr>
            <w:tcW w:w="6877"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https://kns.cnki.net/kns/ViewPage/viewsave.aspx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6</w:t>
            </w:r>
          </w:p>
        </w:tc>
        <w:tc>
          <w:tcPr>
            <w:tcW w:w="1698" w:type="dxa"/>
          </w:tcPr>
          <w:p>
            <w:pPr>
              <w:numPr>
                <w:ilvl w:val="0"/>
                <w:numId w:val="0"/>
              </w:numPr>
              <w:spacing w:line="620" w:lineRule="exact"/>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汽车底盘构造与拆装</w:t>
            </w:r>
          </w:p>
        </w:tc>
        <w:tc>
          <w:tcPr>
            <w:tcW w:w="6877"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https://kns.cnki.net/kns/ViewPage/viewsave.aspx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7</w:t>
            </w:r>
          </w:p>
        </w:tc>
        <w:tc>
          <w:tcPr>
            <w:tcW w:w="1698" w:type="dxa"/>
          </w:tcPr>
          <w:p>
            <w:pPr>
              <w:numPr>
                <w:ilvl w:val="0"/>
                <w:numId w:val="0"/>
              </w:numPr>
              <w:spacing w:line="620" w:lineRule="exact"/>
              <w:rPr>
                <w:rFonts w:hint="eastAsia" w:ascii="仿宋" w:hAnsi="仿宋" w:eastAsia="仿宋" w:cs="仿宋"/>
                <w:color w:val="auto"/>
                <w:sz w:val="21"/>
                <w:szCs w:val="21"/>
                <w:vertAlign w:val="baseline"/>
                <w:lang w:val="en-US" w:eastAsia="zh-CN"/>
              </w:rPr>
            </w:pPr>
            <w:r>
              <w:rPr>
                <w:rFonts w:hint="eastAsia" w:ascii="仿宋" w:hAnsi="仿宋" w:eastAsia="仿宋" w:cs="宋体"/>
                <w:color w:val="000000"/>
                <w:kern w:val="0"/>
                <w:sz w:val="21"/>
                <w:szCs w:val="21"/>
              </w:rPr>
              <w:t>汽车自动变速器维修</w:t>
            </w:r>
          </w:p>
        </w:tc>
        <w:tc>
          <w:tcPr>
            <w:tcW w:w="6877"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https://kns.cnki.net/kns/ViewPage/viewsave.aspx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8</w:t>
            </w:r>
          </w:p>
        </w:tc>
        <w:tc>
          <w:tcPr>
            <w:tcW w:w="1698" w:type="dxa"/>
          </w:tcPr>
          <w:p>
            <w:pPr>
              <w:numPr>
                <w:ilvl w:val="0"/>
                <w:numId w:val="0"/>
              </w:numPr>
              <w:spacing w:line="620" w:lineRule="exact"/>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汽车营销实务</w:t>
            </w:r>
          </w:p>
        </w:tc>
        <w:tc>
          <w:tcPr>
            <w:tcW w:w="6877"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https://kns.cnki.net/kns/ViewPage/viewsave.aspx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9</w:t>
            </w:r>
          </w:p>
        </w:tc>
        <w:tc>
          <w:tcPr>
            <w:tcW w:w="1698" w:type="dxa"/>
          </w:tcPr>
          <w:p>
            <w:pPr>
              <w:numPr>
                <w:ilvl w:val="0"/>
                <w:numId w:val="0"/>
              </w:numPr>
              <w:spacing w:line="620" w:lineRule="exact"/>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汽车传动系统维修</w:t>
            </w:r>
          </w:p>
        </w:tc>
        <w:tc>
          <w:tcPr>
            <w:tcW w:w="6877"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https://kns.cnki.net/kns/ViewPage/viewsave.aspx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10</w:t>
            </w:r>
          </w:p>
        </w:tc>
        <w:tc>
          <w:tcPr>
            <w:tcW w:w="1698" w:type="dxa"/>
          </w:tcPr>
          <w:p>
            <w:pPr>
              <w:numPr>
                <w:ilvl w:val="0"/>
                <w:numId w:val="0"/>
              </w:numPr>
              <w:spacing w:line="620" w:lineRule="exact"/>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汽车文化</w:t>
            </w:r>
          </w:p>
        </w:tc>
        <w:tc>
          <w:tcPr>
            <w:tcW w:w="6877"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https://kns.cnki.net/kns/ViewPage/viewsave.aspx</w:t>
            </w:r>
          </w:p>
        </w:tc>
      </w:tr>
    </w:tbl>
    <w:p>
      <w:pPr>
        <w:ind w:firstLine="560" w:firstLineChars="0"/>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pPr>
    </w:p>
    <w:p>
      <w:pPr>
        <w:ind w:firstLine="560" w:firstLineChars="0"/>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pP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4.学校现有校园数字化资源平台、微讲师平台、企业微信、问卷星，开展信息化教学，平台资源丰富。</w:t>
      </w:r>
    </w:p>
    <w:p>
      <w:pPr>
        <w:spacing w:line="620" w:lineRule="exact"/>
        <w:ind w:firstLine="643" w:firstLineChars="200"/>
        <w:outlineLvl w:val="1"/>
        <w:rPr>
          <w:rFonts w:hint="eastAsia" w:ascii="楷体_GB2312" w:eastAsia="楷体_GB2312"/>
          <w:b/>
          <w:sz w:val="32"/>
          <w:szCs w:val="32"/>
        </w:rPr>
      </w:pPr>
      <w:bookmarkStart w:id="88" w:name="_Toc3573"/>
      <w:r>
        <w:rPr>
          <w:rFonts w:hint="eastAsia" w:ascii="楷体_GB2312" w:eastAsia="楷体_GB2312"/>
          <w:b/>
          <w:sz w:val="32"/>
          <w:szCs w:val="32"/>
        </w:rPr>
        <w:t>（四）教学方法</w:t>
      </w:r>
      <w:bookmarkEnd w:id="88"/>
    </w:p>
    <w:p>
      <w:pPr>
        <w:numPr>
          <w:ilvl w:val="0"/>
          <w:numId w:val="0"/>
        </w:numPr>
        <w:ind w:firstLine="560" w:firstLineChars="200"/>
        <w:rPr>
          <w:rFonts w:hint="default"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教师在教学实践中强化课程思政，以学生的学习需求为中心，为学生创造、优化学习环境，为学生的学习活动营造一个轻松的学习“场域”。</w:t>
      </w:r>
    </w:p>
    <w:p>
      <w:pPr>
        <w:numPr>
          <w:ilvl w:val="0"/>
          <w:numId w:val="10"/>
        </w:numPr>
        <w:ind w:firstLine="560" w:firstLineChars="200"/>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公共基础课</w:t>
      </w:r>
    </w:p>
    <w:p>
      <w:pPr>
        <w:numPr>
          <w:ilvl w:val="0"/>
          <w:numId w:val="0"/>
        </w:numPr>
        <w:ind w:firstLine="560" w:firstLineChars="200"/>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学法、项目教学法、小组协作学习、角色扮演教学法、案例教学法、自主学习等多种教学方法，践行“做中学”，教学过程突出“以学生为中心”，从而促进学生职业能力的培养，有效地培养学生解决问题的能力及可持续发展的能力。</w:t>
      </w:r>
    </w:p>
    <w:p>
      <w:pPr>
        <w:numPr>
          <w:ilvl w:val="0"/>
          <w:numId w:val="10"/>
        </w:numPr>
        <w:ind w:left="0" w:leftChars="0" w:firstLine="560" w:firstLineChars="200"/>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专业技能课</w:t>
      </w:r>
    </w:p>
    <w:p>
      <w:pPr>
        <w:spacing w:line="620" w:lineRule="exact"/>
        <w:ind w:firstLine="560" w:firstLineChars="200"/>
        <w:rPr>
          <w:rFonts w:hint="eastAsia" w:ascii="仿宋_GB2312" w:eastAsia="仿宋_GB2312"/>
          <w:sz w:val="32"/>
          <w:szCs w:val="32"/>
        </w:rPr>
      </w:pPr>
      <w:r>
        <w:rPr>
          <w:rFonts w:hint="eastAsia" w:ascii="仿宋_GB2312" w:hAnsi="Calibri" w:eastAsia="仿宋_GB2312" w:cs="宋体"/>
          <w:color w:val="000000"/>
          <w:kern w:val="2"/>
          <w:sz w:val="28"/>
          <w:szCs w:val="28"/>
          <w:lang w:val="en-US" w:eastAsia="zh-CN" w:bidi="ar-SA"/>
        </w:rPr>
        <w:t>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项目教学的任务学习，获得汽车维修相关知识和技能，同时获得职业能力，提高人才的培养质量。</w:t>
      </w:r>
    </w:p>
    <w:p>
      <w:pPr>
        <w:numPr>
          <w:ilvl w:val="0"/>
          <w:numId w:val="11"/>
        </w:numPr>
        <w:spacing w:line="620" w:lineRule="exact"/>
        <w:ind w:firstLine="643" w:firstLineChars="200"/>
        <w:outlineLvl w:val="1"/>
        <w:rPr>
          <w:rFonts w:hint="eastAsia" w:ascii="楷体_GB2312" w:eastAsia="楷体_GB2312"/>
          <w:b/>
          <w:sz w:val="32"/>
          <w:szCs w:val="32"/>
        </w:rPr>
      </w:pPr>
      <w:bookmarkStart w:id="89" w:name="_Toc5985"/>
      <w:r>
        <w:rPr>
          <w:rFonts w:hint="eastAsia" w:ascii="楷体_GB2312" w:eastAsia="楷体_GB2312"/>
          <w:b/>
          <w:sz w:val="32"/>
          <w:szCs w:val="32"/>
        </w:rPr>
        <w:t>学习评价</w:t>
      </w:r>
      <w:bookmarkEnd w:id="89"/>
    </w:p>
    <w:p>
      <w:pPr>
        <w:numPr>
          <w:ilvl w:val="0"/>
          <w:numId w:val="0"/>
        </w:numPr>
        <w:ind w:firstLine="560" w:firstLineChars="200"/>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采取过程考核、终期考核与成果评估相结合的方式，注重对学生的任务完成情况、报告编写以及工作态度、团队协作和沟通能力的综合评估，力求体现学生的综合能力。</w:t>
      </w:r>
    </w:p>
    <w:p>
      <w:pPr>
        <w:numPr>
          <w:ilvl w:val="0"/>
          <w:numId w:val="0"/>
        </w:numPr>
        <w:ind w:firstLine="560" w:firstLineChars="200"/>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评价的方式可以采取同学监督评价与教师评价相结合的方式。对以小组方式完成工作过程的小组，对组员的评价由组长负责，对小组总的评价由教师负责，两者结合形成组员的评价结果。</w:t>
      </w:r>
    </w:p>
    <w:p>
      <w:pPr>
        <w:numPr>
          <w:ilvl w:val="0"/>
          <w:numId w:val="0"/>
        </w:numPr>
        <w:ind w:firstLine="560" w:firstLineChars="200"/>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所有必修课和选修课及实训课等均在教学过程中或完成教学目标时进行知识和技能考核。考核评分标准如下表：</w:t>
      </w:r>
    </w:p>
    <w:p>
      <w:pPr>
        <w:spacing w:line="320" w:lineRule="exact"/>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表22：汽车运用与维修专业考核评分标准表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spacing w:line="320" w:lineRule="exact"/>
              <w:jc w:val="center"/>
              <w:rPr>
                <w:rFonts w:ascii="仿宋" w:hAnsi="仿宋" w:eastAsia="仿宋" w:cs="仿宋"/>
                <w:b/>
                <w:bCs/>
                <w:szCs w:val="21"/>
              </w:rPr>
            </w:pPr>
            <w:r>
              <w:rPr>
                <w:rFonts w:hint="eastAsia" w:ascii="仿宋" w:hAnsi="仿宋" w:eastAsia="仿宋" w:cs="仿宋"/>
                <w:b/>
                <w:bCs/>
                <w:szCs w:val="21"/>
              </w:rPr>
              <w:t>课程分类</w:t>
            </w:r>
          </w:p>
        </w:tc>
        <w:tc>
          <w:tcPr>
            <w:tcW w:w="1701" w:type="dxa"/>
            <w:vAlign w:val="center"/>
          </w:tcPr>
          <w:p>
            <w:pPr>
              <w:spacing w:line="320" w:lineRule="exact"/>
              <w:jc w:val="center"/>
              <w:rPr>
                <w:rFonts w:ascii="仿宋" w:hAnsi="仿宋" w:eastAsia="仿宋" w:cs="仿宋"/>
                <w:b/>
                <w:bCs/>
                <w:szCs w:val="21"/>
              </w:rPr>
            </w:pPr>
            <w:r>
              <w:rPr>
                <w:rFonts w:hint="eastAsia" w:ascii="仿宋" w:hAnsi="仿宋" w:eastAsia="仿宋" w:cs="仿宋"/>
                <w:b/>
                <w:bCs/>
                <w:szCs w:val="21"/>
              </w:rPr>
              <w:t>评分项目</w:t>
            </w:r>
          </w:p>
        </w:tc>
        <w:tc>
          <w:tcPr>
            <w:tcW w:w="1276" w:type="dxa"/>
            <w:vAlign w:val="center"/>
          </w:tcPr>
          <w:p>
            <w:pPr>
              <w:spacing w:line="320" w:lineRule="exact"/>
              <w:jc w:val="center"/>
              <w:rPr>
                <w:rFonts w:ascii="仿宋" w:hAnsi="仿宋" w:eastAsia="仿宋" w:cs="仿宋"/>
                <w:b/>
                <w:bCs/>
                <w:szCs w:val="21"/>
              </w:rPr>
            </w:pPr>
            <w:r>
              <w:rPr>
                <w:rFonts w:hint="eastAsia" w:ascii="仿宋" w:hAnsi="仿宋" w:eastAsia="仿宋" w:cs="仿宋"/>
                <w:b/>
                <w:bCs/>
                <w:szCs w:val="21"/>
              </w:rPr>
              <w:t>分值比例</w:t>
            </w:r>
          </w:p>
        </w:tc>
        <w:tc>
          <w:tcPr>
            <w:tcW w:w="5351" w:type="dxa"/>
            <w:vAlign w:val="center"/>
          </w:tcPr>
          <w:p>
            <w:pPr>
              <w:spacing w:line="320" w:lineRule="exact"/>
              <w:jc w:val="center"/>
              <w:rPr>
                <w:rFonts w:ascii="仿宋" w:hAnsi="仿宋" w:eastAsia="仿宋" w:cs="仿宋"/>
                <w:b/>
                <w:bCs/>
                <w:szCs w:val="21"/>
              </w:rPr>
            </w:pPr>
            <w:r>
              <w:rPr>
                <w:rFonts w:hint="eastAsia" w:ascii="仿宋" w:hAnsi="仿宋" w:eastAsia="仿宋" w:cs="仿宋"/>
                <w:b/>
                <w:bCs/>
                <w:szCs w:val="21"/>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320" w:lineRule="exact"/>
              <w:jc w:val="center"/>
              <w:rPr>
                <w:rFonts w:ascii="仿宋" w:hAnsi="仿宋" w:eastAsia="仿宋" w:cs="仿宋"/>
                <w:szCs w:val="21"/>
              </w:rPr>
            </w:pPr>
            <w:r>
              <w:rPr>
                <w:rFonts w:hint="eastAsia" w:ascii="仿宋" w:hAnsi="仿宋" w:eastAsia="仿宋" w:cs="仿宋"/>
                <w:szCs w:val="21"/>
              </w:rPr>
              <w:t>理论课</w:t>
            </w: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平时成绩</w:t>
            </w:r>
          </w:p>
        </w:tc>
        <w:tc>
          <w:tcPr>
            <w:tcW w:w="1276" w:type="dxa"/>
            <w:vAlign w:val="center"/>
          </w:tcPr>
          <w:p>
            <w:pPr>
              <w:spacing w:line="320" w:lineRule="exact"/>
              <w:jc w:val="center"/>
              <w:rPr>
                <w:rFonts w:ascii="仿宋" w:hAnsi="仿宋" w:eastAsia="仿宋" w:cs="仿宋"/>
                <w:szCs w:val="21"/>
              </w:rPr>
            </w:pPr>
            <w:r>
              <w:rPr>
                <w:rFonts w:ascii="仿宋" w:hAnsi="仿宋" w:eastAsia="仿宋" w:cs="仿宋"/>
                <w:szCs w:val="21"/>
              </w:rPr>
              <w:t>30</w:t>
            </w:r>
            <w:r>
              <w:rPr>
                <w:rFonts w:hint="eastAsia" w:ascii="仿宋" w:hAnsi="仿宋" w:eastAsia="仿宋" w:cs="仿宋"/>
                <w:szCs w:val="21"/>
              </w:rPr>
              <w:t>%</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hint="eastAsia" w:ascii="仿宋" w:hAnsi="仿宋" w:eastAsia="仿宋" w:cs="仿宋"/>
                <w:szCs w:val="21"/>
              </w:rPr>
            </w:pPr>
            <w:r>
              <w:rPr>
                <w:rFonts w:hint="eastAsia" w:ascii="仿宋" w:hAnsi="仿宋" w:eastAsia="仿宋" w:cs="仿宋"/>
                <w:szCs w:val="21"/>
              </w:rPr>
              <w:t>半期</w:t>
            </w:r>
            <w:r>
              <w:rPr>
                <w:rFonts w:ascii="仿宋" w:hAnsi="仿宋" w:eastAsia="仿宋" w:cs="仿宋"/>
                <w:szCs w:val="21"/>
              </w:rPr>
              <w:t>成绩</w:t>
            </w:r>
          </w:p>
        </w:tc>
        <w:tc>
          <w:tcPr>
            <w:tcW w:w="1276" w:type="dxa"/>
            <w:vAlign w:val="center"/>
          </w:tcPr>
          <w:p>
            <w:pPr>
              <w:spacing w:line="320" w:lineRule="exact"/>
              <w:jc w:val="center"/>
              <w:rPr>
                <w:rFonts w:hint="eastAsia" w:ascii="仿宋" w:hAnsi="仿宋" w:eastAsia="仿宋" w:cs="仿宋"/>
                <w:szCs w:val="21"/>
              </w:rPr>
            </w:pPr>
            <w:r>
              <w:rPr>
                <w:rFonts w:hint="eastAsia" w:ascii="仿宋" w:hAnsi="仿宋" w:eastAsia="仿宋" w:cs="仿宋"/>
                <w:szCs w:val="21"/>
              </w:rPr>
              <w:t>30</w:t>
            </w:r>
            <w:r>
              <w:rPr>
                <w:rFonts w:ascii="仿宋" w:hAnsi="仿宋" w:eastAsia="仿宋" w:cs="仿宋"/>
                <w:szCs w:val="21"/>
              </w:rPr>
              <w:t>%</w:t>
            </w:r>
          </w:p>
        </w:tc>
        <w:tc>
          <w:tcPr>
            <w:tcW w:w="5351" w:type="dxa"/>
            <w:vAlign w:val="center"/>
          </w:tcPr>
          <w:p>
            <w:pPr>
              <w:spacing w:line="320" w:lineRule="exact"/>
              <w:jc w:val="center"/>
              <w:rPr>
                <w:rFonts w:hint="eastAsia" w:ascii="仿宋" w:hAnsi="仿宋" w:eastAsia="仿宋" w:cs="仿宋"/>
                <w:szCs w:val="21"/>
              </w:rPr>
            </w:pPr>
            <w:r>
              <w:rPr>
                <w:rFonts w:hint="eastAsia" w:ascii="仿宋" w:hAnsi="仿宋" w:eastAsia="仿宋" w:cs="仿宋"/>
                <w:szCs w:val="21"/>
              </w:rPr>
              <w:t>半期</w:t>
            </w:r>
            <w:r>
              <w:rPr>
                <w:rFonts w:hint="eastAsia" w:ascii="仿宋" w:hAnsi="仿宋" w:eastAsia="仿宋" w:cs="仿宋"/>
                <w:szCs w:val="21"/>
                <w:lang w:eastAsia="zh-CN"/>
              </w:rPr>
              <w:t>自拟</w:t>
            </w:r>
            <w:r>
              <w:rPr>
                <w:rFonts w:hint="eastAsia" w:ascii="仿宋" w:hAnsi="仿宋" w:eastAsia="仿宋" w:cs="仿宋"/>
                <w:szCs w:val="21"/>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期末成绩</w:t>
            </w:r>
          </w:p>
        </w:tc>
        <w:tc>
          <w:tcPr>
            <w:tcW w:w="1276" w:type="dxa"/>
            <w:vAlign w:val="center"/>
          </w:tcPr>
          <w:p>
            <w:pPr>
              <w:spacing w:line="320" w:lineRule="exact"/>
              <w:jc w:val="center"/>
              <w:rPr>
                <w:rFonts w:ascii="仿宋" w:hAnsi="仿宋" w:eastAsia="仿宋" w:cs="仿宋"/>
                <w:szCs w:val="21"/>
              </w:rPr>
            </w:pPr>
            <w:r>
              <w:rPr>
                <w:rFonts w:ascii="仿宋" w:hAnsi="仿宋" w:eastAsia="仿宋" w:cs="仿宋"/>
                <w:szCs w:val="21"/>
              </w:rPr>
              <w:t>40</w:t>
            </w:r>
            <w:r>
              <w:rPr>
                <w:rFonts w:hint="eastAsia" w:ascii="仿宋" w:hAnsi="仿宋" w:eastAsia="仿宋" w:cs="仿宋"/>
                <w:szCs w:val="21"/>
              </w:rPr>
              <w:t>%</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320" w:lineRule="exact"/>
              <w:jc w:val="center"/>
              <w:rPr>
                <w:rFonts w:ascii="仿宋" w:hAnsi="仿宋" w:eastAsia="仿宋" w:cs="仿宋"/>
                <w:szCs w:val="21"/>
              </w:rPr>
            </w:pPr>
            <w:r>
              <w:rPr>
                <w:rFonts w:hint="eastAsia" w:ascii="仿宋" w:hAnsi="仿宋" w:eastAsia="仿宋" w:cs="仿宋"/>
                <w:szCs w:val="21"/>
              </w:rPr>
              <w:t>理实一体</w:t>
            </w: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平时成绩</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30%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理论成绩</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30%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实操成绩</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40%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restart"/>
            <w:vAlign w:val="center"/>
          </w:tcPr>
          <w:p>
            <w:pPr>
              <w:spacing w:line="320" w:lineRule="exact"/>
              <w:jc w:val="center"/>
              <w:rPr>
                <w:rFonts w:ascii="仿宋" w:hAnsi="仿宋" w:eastAsia="仿宋" w:cs="仿宋"/>
                <w:szCs w:val="21"/>
              </w:rPr>
            </w:pPr>
            <w:r>
              <w:rPr>
                <w:rFonts w:hint="eastAsia" w:ascii="仿宋" w:hAnsi="仿宋" w:eastAsia="仿宋" w:cs="仿宋"/>
                <w:szCs w:val="21"/>
              </w:rPr>
              <w:t>实训课</w:t>
            </w: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职业素养考核</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40%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技能考核</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60%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320" w:lineRule="exact"/>
              <w:jc w:val="center"/>
              <w:rPr>
                <w:rFonts w:hint="eastAsia" w:ascii="仿宋" w:hAnsi="仿宋" w:eastAsia="仿宋" w:cs="仿宋"/>
                <w:szCs w:val="21"/>
                <w:lang w:eastAsia="zh-CN"/>
              </w:rPr>
            </w:pPr>
            <w:r>
              <w:rPr>
                <w:rFonts w:hint="eastAsia" w:ascii="仿宋" w:hAnsi="仿宋" w:eastAsia="仿宋" w:cs="仿宋"/>
                <w:szCs w:val="21"/>
                <w:lang w:eastAsia="zh-CN"/>
              </w:rPr>
              <w:t>岗位实习</w:t>
            </w: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学生自评</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20%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企业考核</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40%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实习报告</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20%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实习带队教师考评</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20%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由带队老师根据学生在企业的工作态度、遵守纪律和掌握的专业技能进行综合评定。</w:t>
            </w:r>
          </w:p>
        </w:tc>
      </w:tr>
    </w:tbl>
    <w:p>
      <w:pPr>
        <w:numPr>
          <w:ilvl w:val="0"/>
          <w:numId w:val="0"/>
        </w:numPr>
        <w:spacing w:line="620" w:lineRule="exact"/>
        <w:outlineLvl w:val="1"/>
        <w:rPr>
          <w:rFonts w:hint="eastAsia" w:ascii="楷体_GB2312" w:eastAsia="楷体_GB2312"/>
          <w:b/>
          <w:sz w:val="32"/>
          <w:szCs w:val="32"/>
        </w:rPr>
      </w:pPr>
    </w:p>
    <w:p>
      <w:pPr>
        <w:numPr>
          <w:ilvl w:val="0"/>
          <w:numId w:val="12"/>
        </w:numPr>
        <w:spacing w:line="620" w:lineRule="exact"/>
        <w:ind w:firstLine="643" w:firstLineChars="200"/>
        <w:outlineLvl w:val="1"/>
        <w:rPr>
          <w:rFonts w:hint="eastAsia" w:ascii="楷体_GB2312" w:eastAsia="楷体_GB2312"/>
          <w:b/>
          <w:sz w:val="32"/>
          <w:szCs w:val="32"/>
        </w:rPr>
      </w:pPr>
      <w:bookmarkStart w:id="90" w:name="_Toc14663"/>
      <w:r>
        <w:rPr>
          <w:rFonts w:hint="eastAsia" w:ascii="楷体_GB2312" w:eastAsia="楷体_GB2312"/>
          <w:b/>
          <w:sz w:val="32"/>
          <w:szCs w:val="32"/>
        </w:rPr>
        <w:t>质量管理</w:t>
      </w:r>
      <w:bookmarkEnd w:id="90"/>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1"/>
        <w:rPr>
          <w:rFonts w:hint="eastAsia" w:ascii="楷体" w:hAnsi="楷体" w:eastAsia="楷体" w:cs="楷体"/>
          <w:b/>
          <w:bCs/>
          <w:color w:val="auto"/>
          <w:sz w:val="32"/>
          <w:szCs w:val="32"/>
          <w:lang w:val="en-US" w:eastAsia="zh-CN"/>
        </w:rPr>
      </w:pPr>
      <w:bookmarkStart w:id="91" w:name="_Toc28180"/>
      <w:bookmarkStart w:id="92" w:name="_Toc22861"/>
      <w:bookmarkStart w:id="93" w:name="_Toc29382"/>
      <w:bookmarkStart w:id="94" w:name="_Toc26013"/>
      <w:bookmarkStart w:id="95" w:name="_Toc15436"/>
      <w:r>
        <w:rPr>
          <w:rFonts w:hint="eastAsia" w:ascii="楷体" w:hAnsi="楷体" w:eastAsia="楷体" w:cs="楷体"/>
          <w:b/>
          <w:bCs/>
          <w:color w:val="auto"/>
          <w:sz w:val="32"/>
          <w:szCs w:val="32"/>
          <w:lang w:val="en-US" w:eastAsia="zh-CN"/>
        </w:rPr>
        <w:t>教学管理模式：</w:t>
      </w:r>
      <w:bookmarkEnd w:id="91"/>
      <w:bookmarkEnd w:id="92"/>
      <w:bookmarkEnd w:id="93"/>
      <w:bookmarkEnd w:id="94"/>
      <w:bookmarkEnd w:id="95"/>
    </w:p>
    <w:p>
      <w:pPr>
        <w:keepNext w:val="0"/>
        <w:keepLines w:val="0"/>
        <w:pageBreakBefore w:val="0"/>
        <w:widowControl w:val="0"/>
        <w:kinsoku/>
        <w:wordWrap/>
        <w:overflowPunct/>
        <w:topLinePunct w:val="0"/>
        <w:bidi w:val="0"/>
        <w:adjustRightInd/>
        <w:snapToGrid/>
        <w:spacing w:line="520" w:lineRule="exact"/>
        <w:ind w:firstLine="560" w:firstLineChars="200"/>
        <w:textAlignment w:val="auto"/>
        <w:outlineLvl w:val="9"/>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 xml:space="preserve">  教学管理是运用管理科学和教学论的原理与方法，充分发挥计划、组织、协调、控制等管理职能，对教学过程各要素加以统筹，使之有序运行，提高效能的过程。教育行政部门和学校共同承担教学管理工作。教学管理涉及教学计划管理、教学组织管理、教学质量管理等基本环节。</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1"/>
        <w:rPr>
          <w:rFonts w:hint="eastAsia" w:ascii="楷体" w:hAnsi="楷体" w:eastAsia="楷体" w:cs="楷体"/>
          <w:b/>
          <w:bCs/>
          <w:color w:val="auto"/>
          <w:sz w:val="32"/>
          <w:szCs w:val="32"/>
          <w:lang w:val="en-US" w:eastAsia="zh-CN"/>
        </w:rPr>
      </w:pPr>
      <w:bookmarkStart w:id="96" w:name="_Toc12585"/>
      <w:bookmarkStart w:id="97" w:name="_Toc10632"/>
      <w:bookmarkStart w:id="98" w:name="_Toc7081"/>
      <w:bookmarkStart w:id="99" w:name="_Toc5603"/>
      <w:bookmarkStart w:id="100" w:name="_Toc17730"/>
      <w:r>
        <w:rPr>
          <w:rFonts w:hint="eastAsia" w:ascii="楷体" w:hAnsi="楷体" w:eastAsia="楷体" w:cs="楷体"/>
          <w:b/>
          <w:bCs/>
          <w:color w:val="auto"/>
          <w:sz w:val="32"/>
          <w:szCs w:val="32"/>
          <w:lang w:val="en-US" w:eastAsia="zh-CN"/>
        </w:rPr>
        <w:t>组织实施教学：</w:t>
      </w:r>
      <w:bookmarkEnd w:id="96"/>
      <w:bookmarkEnd w:id="97"/>
      <w:bookmarkEnd w:id="98"/>
      <w:bookmarkEnd w:id="99"/>
      <w:bookmarkEnd w:id="100"/>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840" w:firstLineChars="300"/>
        <w:jc w:val="both"/>
        <w:textAlignment w:val="auto"/>
        <w:outlineLvl w:val="9"/>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 组织实施教学：本专业可根据本专业产业结构及特色选择专业方向，按照工学交替的教学模式，教学形式为课堂讲授、学生自学、教师辅导、学生实践等形式。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560" w:firstLineChars="200"/>
        <w:jc w:val="both"/>
        <w:textAlignment w:val="auto"/>
        <w:outlineLvl w:val="9"/>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 课堂讲授：教师按照教学计划在各个基层教学点及实验基地进行现场教学，在总教学点进行阶段归纳总结布置。课堂讲授时间一般不少于其学时数的一半，并布置一定的作业，专业教师要按规定要求学员填写生产日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560" w:firstLineChars="200"/>
        <w:jc w:val="both"/>
        <w:textAlignment w:val="auto"/>
        <w:outlineLvl w:val="9"/>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 学生自学：学生利用多媒体教材、网络辅导资源或教学包进行自主学习，或按照教学大纲的要求对文字教材进行自主学习。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560" w:firstLineChars="200"/>
        <w:jc w:val="both"/>
        <w:textAlignment w:val="auto"/>
        <w:outlineLvl w:val="9"/>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 教师辅导：教师在学生自学多媒体教材及文字教材的基础上进行个别辅导，辅导方式包括当面指导、通信、电话、电子邮件等。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rightChars="0" w:firstLine="560" w:firstLineChars="200"/>
        <w:jc w:val="both"/>
        <w:textAlignment w:val="auto"/>
        <w:outlineLvl w:val="9"/>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 学生实践：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560" w:firstLineChars="200"/>
        <w:jc w:val="both"/>
        <w:textAlignment w:val="auto"/>
        <w:outlineLvl w:val="9"/>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 ①实验：学生按照课程教学要求开展有关内容的实验及调查，写出合格的实验报告或调查报告；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560" w:firstLineChars="200"/>
        <w:jc w:val="both"/>
        <w:textAlignment w:val="auto"/>
        <w:outlineLvl w:val="9"/>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 ②实习：即生产经营，学生根据本地实际和本人特长，选择和确定与本专业教学内容密切相关的生产经营项目进行实施，实践课教师要求学生根据生产经营实际情况撰写日志、报告、总结等。鼓励有条件的学生积极开展集约化生产经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560" w:firstLineChars="200"/>
        <w:jc w:val="both"/>
        <w:textAlignment w:val="auto"/>
        <w:outlineLvl w:val="9"/>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 ③技术推广：学生根据教学进程的安排需要开展卓有成效的技术推广活动，并撰写日志、报告、总结等。鼓励有条件的学生积极开展技术推广活动。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560" w:firstLineChars="200"/>
        <w:jc w:val="both"/>
        <w:textAlignment w:val="auto"/>
        <w:outlineLvl w:val="9"/>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2、教学时间：第一学年的两个学期以公共课和专业课为主，第二学年和第三学年以专业课和实践课为主。以专业课教学为中心，根据学生实施生产经营项目的需要，确定恰当的切入点组织教学，同时切实注意到了学生职业能力形成的顺序性、衔接性和整体性，使教学过程各部分的内容自然、连贯。</w:t>
      </w:r>
    </w:p>
    <w:p>
      <w:pPr>
        <w:numPr>
          <w:ilvl w:val="0"/>
          <w:numId w:val="0"/>
        </w:numPr>
        <w:spacing w:line="620" w:lineRule="exact"/>
        <w:ind w:firstLine="560" w:firstLineChars="200"/>
        <w:rPr>
          <w:rFonts w:hint="eastAsia" w:ascii="仿宋_GB2312" w:eastAsia="仿宋_GB2312"/>
          <w:sz w:val="32"/>
          <w:szCs w:val="32"/>
        </w:rPr>
      </w:pPr>
      <w:r>
        <w:rPr>
          <w:rFonts w:hint="eastAsia" w:ascii="仿宋" w:hAnsi="仿宋" w:eastAsia="仿宋" w:cs="仿宋"/>
          <w:color w:val="auto"/>
          <w:kern w:val="2"/>
          <w:sz w:val="28"/>
          <w:szCs w:val="28"/>
          <w:lang w:val="en-US" w:eastAsia="zh-CN" w:bidi="ar-SA"/>
        </w:rPr>
        <w:t>教师要根据学生特点，因材施教，改变教学方法，努力实现教学目标、教学内容、教学方法和教学媒体的有效组合，充分发挥现代教育技术和手段的作用，尽最大限度为每位学生提供各种学习条件。使每位学生都得到应有的正规教育，达到送交下乡的真正目的。</w:t>
      </w:r>
    </w:p>
    <w:p>
      <w:pPr>
        <w:spacing w:line="620" w:lineRule="exact"/>
        <w:ind w:firstLine="640" w:firstLineChars="200"/>
        <w:outlineLvl w:val="0"/>
        <w:rPr>
          <w:rFonts w:hint="eastAsia" w:ascii="黑体" w:eastAsia="黑体"/>
          <w:sz w:val="32"/>
          <w:szCs w:val="32"/>
        </w:rPr>
      </w:pPr>
      <w:bookmarkStart w:id="101" w:name="_Toc18447"/>
      <w:r>
        <w:rPr>
          <w:rFonts w:hint="eastAsia" w:ascii="黑体" w:eastAsia="黑体"/>
          <w:sz w:val="32"/>
          <w:szCs w:val="32"/>
        </w:rPr>
        <w:t>九、毕业要求</w:t>
      </w:r>
      <w:bookmarkEnd w:id="101"/>
    </w:p>
    <w:p>
      <w:pPr>
        <w:numPr>
          <w:ilvl w:val="0"/>
          <w:numId w:val="13"/>
        </w:numPr>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通过规定年限的学习，修满专业人才培养方案中规定的全部课程，各科成绩必须达到60分以上</w:t>
      </w:r>
      <w:r>
        <w:rPr>
          <w:rFonts w:hint="eastAsia" w:ascii="仿宋_GB2312" w:eastAsia="仿宋_GB2312"/>
          <w:color w:val="000000"/>
          <w:sz w:val="28"/>
          <w:szCs w:val="28"/>
          <w:lang w:eastAsia="zh-CN"/>
        </w:rPr>
        <w:t>为</w:t>
      </w:r>
      <w:r>
        <w:rPr>
          <w:rFonts w:hint="eastAsia" w:ascii="仿宋_GB2312" w:eastAsia="仿宋_GB2312"/>
          <w:color w:val="000000"/>
          <w:sz w:val="28"/>
          <w:szCs w:val="28"/>
        </w:rPr>
        <w:t>及格成绩。 </w:t>
      </w:r>
    </w:p>
    <w:p>
      <w:pPr>
        <w:numPr>
          <w:ilvl w:val="0"/>
          <w:numId w:val="13"/>
        </w:numPr>
        <w:ind w:firstLine="560" w:firstLineChars="200"/>
        <w:rPr>
          <w:rFonts w:ascii="仿宋_GB2312" w:eastAsia="仿宋_GB2312"/>
          <w:color w:val="000000"/>
          <w:sz w:val="28"/>
          <w:szCs w:val="28"/>
        </w:rPr>
      </w:pPr>
      <w:r>
        <w:rPr>
          <w:rFonts w:hint="eastAsia" w:ascii="仿宋_GB2312" w:eastAsia="仿宋_GB2312"/>
          <w:color w:val="000000"/>
          <w:sz w:val="28"/>
          <w:szCs w:val="28"/>
        </w:rPr>
        <w:t>完成</w:t>
      </w:r>
      <w:r>
        <w:rPr>
          <w:rFonts w:hint="eastAsia" w:ascii="仿宋_GB2312" w:eastAsia="仿宋_GB2312"/>
          <w:color w:val="000000"/>
          <w:sz w:val="28"/>
          <w:szCs w:val="28"/>
          <w:lang w:eastAsia="zh-CN"/>
        </w:rPr>
        <w:t>岗位实习</w:t>
      </w:r>
      <w:r>
        <w:rPr>
          <w:rFonts w:hint="eastAsia" w:ascii="仿宋_GB2312" w:eastAsia="仿宋_GB2312"/>
          <w:color w:val="000000"/>
          <w:sz w:val="28"/>
          <w:szCs w:val="28"/>
        </w:rPr>
        <w:t>，撰写实习报告，</w:t>
      </w:r>
      <w:r>
        <w:rPr>
          <w:rFonts w:hint="eastAsia" w:ascii="仿宋_GB2312" w:eastAsia="仿宋_GB2312"/>
          <w:color w:val="000000"/>
          <w:sz w:val="28"/>
          <w:szCs w:val="28"/>
          <w:lang w:eastAsia="zh-CN"/>
        </w:rPr>
        <w:t>岗位实习</w:t>
      </w:r>
      <w:r>
        <w:rPr>
          <w:rFonts w:hint="eastAsia" w:ascii="仿宋_GB2312" w:eastAsia="仿宋_GB2312"/>
          <w:color w:val="000000"/>
          <w:sz w:val="28"/>
          <w:szCs w:val="28"/>
        </w:rPr>
        <w:t>考核取得合格以上成绩。</w:t>
      </w:r>
    </w:p>
    <w:p>
      <w:pPr>
        <w:numPr>
          <w:ilvl w:val="0"/>
          <w:numId w:val="0"/>
        </w:numPr>
        <w:spacing w:line="480" w:lineRule="exact"/>
        <w:ind w:firstLine="560" w:firstLineChars="200"/>
        <w:rPr>
          <w:rFonts w:hint="eastAsia" w:ascii="仿宋" w:hAnsi="仿宋" w:eastAsia="仿宋_GB2312" w:cs="仿宋"/>
          <w:kern w:val="1"/>
          <w:sz w:val="28"/>
          <w:szCs w:val="28"/>
          <w:lang w:eastAsia="zh-CN"/>
        </w:rPr>
      </w:pPr>
      <w:r>
        <w:rPr>
          <w:rFonts w:hint="eastAsia" w:ascii="仿宋_GB2312" w:eastAsia="仿宋_GB2312"/>
          <w:color w:val="000000"/>
          <w:sz w:val="28"/>
          <w:szCs w:val="28"/>
          <w:lang w:val="en-US" w:eastAsia="zh-CN"/>
        </w:rPr>
        <w:t>3.</w:t>
      </w:r>
      <w:r>
        <w:rPr>
          <w:rFonts w:hint="eastAsia" w:ascii="仿宋_GB2312" w:eastAsia="仿宋_GB2312"/>
          <w:color w:val="000000"/>
          <w:sz w:val="28"/>
          <w:szCs w:val="28"/>
        </w:rPr>
        <w:t>获得</w:t>
      </w:r>
      <w:r>
        <w:rPr>
          <w:rFonts w:hint="eastAsia" w:ascii="仿宋_GB2312" w:eastAsia="仿宋_GB2312"/>
          <w:color w:val="000000"/>
          <w:sz w:val="28"/>
          <w:szCs w:val="28"/>
          <w:lang w:val="en-US" w:eastAsia="zh-CN"/>
        </w:rPr>
        <w:t>185</w:t>
      </w:r>
      <w:r>
        <w:rPr>
          <w:rFonts w:hint="eastAsia" w:ascii="仿宋_GB2312" w:eastAsia="仿宋_GB2312"/>
          <w:color w:val="000000"/>
          <w:sz w:val="28"/>
          <w:szCs w:val="28"/>
        </w:rPr>
        <w:t>学分及以上</w:t>
      </w:r>
      <w:r>
        <w:rPr>
          <w:rFonts w:hint="eastAsia" w:ascii="仿宋_GB2312" w:eastAsia="仿宋_GB2312"/>
          <w:color w:val="000000"/>
          <w:sz w:val="28"/>
          <w:szCs w:val="28"/>
          <w:lang w:eastAsia="zh-CN"/>
        </w:rPr>
        <w:t>。</w:t>
      </w:r>
    </w:p>
    <w:p>
      <w:pPr>
        <w:rPr>
          <w:rFonts w:hint="eastAsia" w:ascii="仿宋_GB2312" w:eastAsia="仿宋_GB2312"/>
          <w:szCs w:val="21"/>
        </w:rPr>
      </w:pPr>
    </w:p>
    <w:p>
      <w:pPr>
        <w:spacing w:line="620" w:lineRule="exact"/>
        <w:rPr>
          <w:rFonts w:hint="eastAsia"/>
        </w:rPr>
      </w:pPr>
    </w:p>
    <w:p>
      <w:pPr>
        <w:jc w:val="both"/>
        <w:rPr>
          <w:rFonts w:hint="eastAsia"/>
          <w:lang w:eastAsia="zh-CN"/>
        </w:rPr>
      </w:pPr>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00"/>
    <w:family w:val="auto"/>
    <w:pitch w:val="default"/>
    <w:sig w:usb0="00000000" w:usb1="00000000" w:usb2="00000000" w:usb3="00000000" w:csb0="00000000" w:csb1="00000000"/>
  </w:font>
  <w:font w:name="仿宋GB-2312">
    <w:altName w:val="仿宋"/>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GB2312">
    <w:altName w:val="仿宋"/>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62B681"/>
    <w:multiLevelType w:val="singleLevel"/>
    <w:tmpl w:val="B462B681"/>
    <w:lvl w:ilvl="0" w:tentative="0">
      <w:start w:val="1"/>
      <w:numFmt w:val="chineseCounting"/>
      <w:suff w:val="nothing"/>
      <w:lvlText w:val="（%1）"/>
      <w:lvlJc w:val="left"/>
      <w:pPr>
        <w:ind w:left="0" w:firstLine="420"/>
      </w:pPr>
      <w:rPr>
        <w:rFonts w:hint="eastAsia"/>
      </w:rPr>
    </w:lvl>
  </w:abstractNum>
  <w:abstractNum w:abstractNumId="1">
    <w:nsid w:val="D6F0B518"/>
    <w:multiLevelType w:val="singleLevel"/>
    <w:tmpl w:val="D6F0B518"/>
    <w:lvl w:ilvl="0" w:tentative="0">
      <w:start w:val="2"/>
      <w:numFmt w:val="chineseCounting"/>
      <w:suff w:val="nothing"/>
      <w:lvlText w:val="（%1）"/>
      <w:lvlJc w:val="left"/>
      <w:rPr>
        <w:rFonts w:hint="eastAsia"/>
      </w:rPr>
    </w:lvl>
  </w:abstractNum>
  <w:abstractNum w:abstractNumId="2">
    <w:nsid w:val="DF3C7AD3"/>
    <w:multiLevelType w:val="singleLevel"/>
    <w:tmpl w:val="DF3C7AD3"/>
    <w:lvl w:ilvl="0" w:tentative="0">
      <w:start w:val="1"/>
      <w:numFmt w:val="decimal"/>
      <w:lvlText w:val="(%1)"/>
      <w:lvlJc w:val="left"/>
      <w:pPr>
        <w:ind w:left="425" w:hanging="425"/>
      </w:pPr>
      <w:rPr>
        <w:rFonts w:hint="default"/>
      </w:rPr>
    </w:lvl>
  </w:abstractNum>
  <w:abstractNum w:abstractNumId="3">
    <w:nsid w:val="00000011"/>
    <w:multiLevelType w:val="singleLevel"/>
    <w:tmpl w:val="00000011"/>
    <w:lvl w:ilvl="0" w:tentative="0">
      <w:start w:val="1"/>
      <w:numFmt w:val="decimal"/>
      <w:suff w:val="space"/>
      <w:lvlText w:val="%1."/>
      <w:lvlJc w:val="left"/>
    </w:lvl>
  </w:abstractNum>
  <w:abstractNum w:abstractNumId="4">
    <w:nsid w:val="06AA5D32"/>
    <w:multiLevelType w:val="singleLevel"/>
    <w:tmpl w:val="06AA5D32"/>
    <w:lvl w:ilvl="0" w:tentative="0">
      <w:start w:val="1"/>
      <w:numFmt w:val="decimal"/>
      <w:lvlText w:val="(%1)"/>
      <w:lvlJc w:val="left"/>
      <w:pPr>
        <w:ind w:left="425" w:hanging="425"/>
      </w:pPr>
      <w:rPr>
        <w:rFonts w:hint="default"/>
      </w:rPr>
    </w:lvl>
  </w:abstractNum>
  <w:abstractNum w:abstractNumId="5">
    <w:nsid w:val="0E2D0DA4"/>
    <w:multiLevelType w:val="multilevel"/>
    <w:tmpl w:val="0E2D0DA4"/>
    <w:lvl w:ilvl="0" w:tentative="0">
      <w:start w:val="1"/>
      <w:numFmt w:val="decimal"/>
      <w:lvlText w:val="（%1）"/>
      <w:lvlJc w:val="left"/>
      <w:pPr>
        <w:ind w:left="42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16465960"/>
    <w:multiLevelType w:val="singleLevel"/>
    <w:tmpl w:val="16465960"/>
    <w:lvl w:ilvl="0" w:tentative="0">
      <w:start w:val="5"/>
      <w:numFmt w:val="chineseCounting"/>
      <w:suff w:val="nothing"/>
      <w:lvlText w:val="（%1）"/>
      <w:lvlJc w:val="left"/>
      <w:rPr>
        <w:rFonts w:hint="eastAsia"/>
      </w:rPr>
    </w:lvl>
  </w:abstractNum>
  <w:abstractNum w:abstractNumId="7">
    <w:nsid w:val="37D19FC9"/>
    <w:multiLevelType w:val="singleLevel"/>
    <w:tmpl w:val="37D19FC9"/>
    <w:lvl w:ilvl="0" w:tentative="0">
      <w:start w:val="1"/>
      <w:numFmt w:val="decimal"/>
      <w:suff w:val="space"/>
      <w:lvlText w:val="%1."/>
      <w:lvlJc w:val="left"/>
    </w:lvl>
  </w:abstractNum>
  <w:abstractNum w:abstractNumId="8">
    <w:nsid w:val="3C6A6EC2"/>
    <w:multiLevelType w:val="multilevel"/>
    <w:tmpl w:val="3C6A6EC2"/>
    <w:lvl w:ilvl="0" w:tentative="0">
      <w:start w:val="1"/>
      <w:numFmt w:val="decimal"/>
      <w:lvlText w:val="%1."/>
      <w:lvlJc w:val="left"/>
      <w:pPr>
        <w:ind w:left="987" w:hanging="420"/>
      </w:pPr>
      <w:rPr>
        <w:rFonts w:hint="default"/>
        <w:b w:val="0"/>
        <w:sz w:val="28"/>
        <w:szCs w:val="28"/>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9">
    <w:nsid w:val="43EB9E5D"/>
    <w:multiLevelType w:val="singleLevel"/>
    <w:tmpl w:val="43EB9E5D"/>
    <w:lvl w:ilvl="0" w:tentative="0">
      <w:start w:val="2"/>
      <w:numFmt w:val="decimal"/>
      <w:suff w:val="nothing"/>
      <w:lvlText w:val="（%1）"/>
      <w:lvlJc w:val="left"/>
    </w:lvl>
  </w:abstractNum>
  <w:abstractNum w:abstractNumId="10">
    <w:nsid w:val="45CD2607"/>
    <w:multiLevelType w:val="singleLevel"/>
    <w:tmpl w:val="45CD2607"/>
    <w:lvl w:ilvl="0" w:tentative="0">
      <w:start w:val="7"/>
      <w:numFmt w:val="chineseCounting"/>
      <w:suff w:val="nothing"/>
      <w:lvlText w:val="%1、"/>
      <w:lvlJc w:val="left"/>
      <w:rPr>
        <w:rFonts w:hint="eastAsia"/>
      </w:rPr>
    </w:lvl>
  </w:abstractNum>
  <w:abstractNum w:abstractNumId="11">
    <w:nsid w:val="4CDC4C0C"/>
    <w:multiLevelType w:val="multilevel"/>
    <w:tmpl w:val="4CDC4C0C"/>
    <w:lvl w:ilvl="0" w:tentative="0">
      <w:start w:val="1"/>
      <w:numFmt w:val="decimal"/>
      <w:lvlText w:val="%1."/>
      <w:lvlJc w:val="left"/>
      <w:pPr>
        <w:ind w:left="936" w:hanging="420"/>
      </w:pPr>
      <w:rPr>
        <w:rFonts w:hint="default"/>
        <w:b w:val="0"/>
        <w:sz w:val="28"/>
        <w:szCs w:val="28"/>
      </w:rPr>
    </w:lvl>
    <w:lvl w:ilvl="1" w:tentative="0">
      <w:start w:val="1"/>
      <w:numFmt w:val="lowerLetter"/>
      <w:lvlText w:val="%2)"/>
      <w:lvlJc w:val="left"/>
      <w:pPr>
        <w:ind w:left="1356" w:hanging="420"/>
      </w:pPr>
    </w:lvl>
    <w:lvl w:ilvl="2" w:tentative="0">
      <w:start w:val="1"/>
      <w:numFmt w:val="decimal"/>
      <w:lvlText w:val="%3."/>
      <w:lvlJc w:val="left"/>
      <w:pPr>
        <w:ind w:left="1776" w:hanging="420"/>
      </w:pPr>
      <w:rPr>
        <w:rFonts w:hint="default"/>
        <w:b w:val="0"/>
        <w:sz w:val="28"/>
        <w:szCs w:val="28"/>
      </w:rPr>
    </w:lvl>
    <w:lvl w:ilvl="3" w:tentative="0">
      <w:start w:val="1"/>
      <w:numFmt w:val="decimal"/>
      <w:lvlText w:val="%4."/>
      <w:lvlJc w:val="left"/>
      <w:pPr>
        <w:ind w:left="2196" w:hanging="420"/>
      </w:pPr>
    </w:lvl>
    <w:lvl w:ilvl="4" w:tentative="0">
      <w:start w:val="1"/>
      <w:numFmt w:val="lowerLetter"/>
      <w:lvlText w:val="%5)"/>
      <w:lvlJc w:val="left"/>
      <w:pPr>
        <w:ind w:left="2616" w:hanging="420"/>
      </w:pPr>
    </w:lvl>
    <w:lvl w:ilvl="5" w:tentative="0">
      <w:start w:val="1"/>
      <w:numFmt w:val="lowerRoman"/>
      <w:lvlText w:val="%6."/>
      <w:lvlJc w:val="right"/>
      <w:pPr>
        <w:ind w:left="3036" w:hanging="420"/>
      </w:pPr>
    </w:lvl>
    <w:lvl w:ilvl="6" w:tentative="0">
      <w:start w:val="1"/>
      <w:numFmt w:val="decimal"/>
      <w:lvlText w:val="%7."/>
      <w:lvlJc w:val="left"/>
      <w:pPr>
        <w:ind w:left="3456" w:hanging="420"/>
      </w:pPr>
    </w:lvl>
    <w:lvl w:ilvl="7" w:tentative="0">
      <w:start w:val="1"/>
      <w:numFmt w:val="lowerLetter"/>
      <w:lvlText w:val="%8)"/>
      <w:lvlJc w:val="left"/>
      <w:pPr>
        <w:ind w:left="3876" w:hanging="420"/>
      </w:pPr>
    </w:lvl>
    <w:lvl w:ilvl="8" w:tentative="0">
      <w:start w:val="1"/>
      <w:numFmt w:val="lowerRoman"/>
      <w:lvlText w:val="%9."/>
      <w:lvlJc w:val="right"/>
      <w:pPr>
        <w:ind w:left="4296" w:hanging="420"/>
      </w:pPr>
    </w:lvl>
  </w:abstractNum>
  <w:abstractNum w:abstractNumId="12">
    <w:nsid w:val="73225C51"/>
    <w:multiLevelType w:val="singleLevel"/>
    <w:tmpl w:val="73225C51"/>
    <w:lvl w:ilvl="0" w:tentative="0">
      <w:start w:val="6"/>
      <w:numFmt w:val="chineseCounting"/>
      <w:suff w:val="nothing"/>
      <w:lvlText w:val="（%1）"/>
      <w:lvlJc w:val="left"/>
      <w:rPr>
        <w:rFonts w:hint="eastAsia"/>
      </w:rPr>
    </w:lvl>
  </w:abstractNum>
  <w:num w:numId="1">
    <w:abstractNumId w:val="4"/>
  </w:num>
  <w:num w:numId="2">
    <w:abstractNumId w:val="2"/>
  </w:num>
  <w:num w:numId="3">
    <w:abstractNumId w:val="1"/>
  </w:num>
  <w:num w:numId="4">
    <w:abstractNumId w:val="8"/>
  </w:num>
  <w:num w:numId="5">
    <w:abstractNumId w:val="9"/>
  </w:num>
  <w:num w:numId="6">
    <w:abstractNumId w:val="10"/>
  </w:num>
  <w:num w:numId="7">
    <w:abstractNumId w:val="0"/>
  </w:num>
  <w:num w:numId="8">
    <w:abstractNumId w:val="11"/>
  </w:num>
  <w:num w:numId="9">
    <w:abstractNumId w:val="5"/>
  </w:num>
  <w:num w:numId="10">
    <w:abstractNumId w:val="3"/>
  </w:num>
  <w:num w:numId="11">
    <w:abstractNumId w:val="6"/>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xNDU4NzUyZDU0ZTIxMGE5MGUyZTcyYzM1ODMzZjAifQ=="/>
  </w:docVars>
  <w:rsids>
    <w:rsidRoot w:val="00172A27"/>
    <w:rsid w:val="00073B8D"/>
    <w:rsid w:val="000B2183"/>
    <w:rsid w:val="00223395"/>
    <w:rsid w:val="00236DF5"/>
    <w:rsid w:val="0036046A"/>
    <w:rsid w:val="003B3FDF"/>
    <w:rsid w:val="00526D6A"/>
    <w:rsid w:val="007D59EB"/>
    <w:rsid w:val="00855732"/>
    <w:rsid w:val="00871EDA"/>
    <w:rsid w:val="00943F83"/>
    <w:rsid w:val="00973D77"/>
    <w:rsid w:val="009B2C92"/>
    <w:rsid w:val="009E10CB"/>
    <w:rsid w:val="00A0027C"/>
    <w:rsid w:val="00C1756D"/>
    <w:rsid w:val="00CA7F4C"/>
    <w:rsid w:val="00D81D88"/>
    <w:rsid w:val="00D878CD"/>
    <w:rsid w:val="00DF0E2D"/>
    <w:rsid w:val="00E57CED"/>
    <w:rsid w:val="00E7428A"/>
    <w:rsid w:val="00F50757"/>
    <w:rsid w:val="0128397D"/>
    <w:rsid w:val="012A6A73"/>
    <w:rsid w:val="012D381C"/>
    <w:rsid w:val="012E0E7A"/>
    <w:rsid w:val="013365DA"/>
    <w:rsid w:val="014A6B17"/>
    <w:rsid w:val="015040D8"/>
    <w:rsid w:val="01602B37"/>
    <w:rsid w:val="01991E14"/>
    <w:rsid w:val="01AC7066"/>
    <w:rsid w:val="01B7330F"/>
    <w:rsid w:val="01B768C1"/>
    <w:rsid w:val="01DC0503"/>
    <w:rsid w:val="01E405E2"/>
    <w:rsid w:val="01EF40A0"/>
    <w:rsid w:val="01FB5CB2"/>
    <w:rsid w:val="02047EF0"/>
    <w:rsid w:val="02124D97"/>
    <w:rsid w:val="02207BE4"/>
    <w:rsid w:val="023411E0"/>
    <w:rsid w:val="025D2529"/>
    <w:rsid w:val="027002C6"/>
    <w:rsid w:val="0284591C"/>
    <w:rsid w:val="028C396D"/>
    <w:rsid w:val="02976E95"/>
    <w:rsid w:val="02A535A6"/>
    <w:rsid w:val="02B650C2"/>
    <w:rsid w:val="02C44817"/>
    <w:rsid w:val="02C76032"/>
    <w:rsid w:val="02D224F5"/>
    <w:rsid w:val="02D939DA"/>
    <w:rsid w:val="02DA08CA"/>
    <w:rsid w:val="02DE059E"/>
    <w:rsid w:val="02E36787"/>
    <w:rsid w:val="02E66BA1"/>
    <w:rsid w:val="02F045EF"/>
    <w:rsid w:val="03016AB0"/>
    <w:rsid w:val="030B6843"/>
    <w:rsid w:val="030F2A95"/>
    <w:rsid w:val="030F3C07"/>
    <w:rsid w:val="031757CD"/>
    <w:rsid w:val="032A74F3"/>
    <w:rsid w:val="032E3B7E"/>
    <w:rsid w:val="03401646"/>
    <w:rsid w:val="03594C0B"/>
    <w:rsid w:val="03760A78"/>
    <w:rsid w:val="038E4883"/>
    <w:rsid w:val="039864DD"/>
    <w:rsid w:val="03A1763E"/>
    <w:rsid w:val="03AE472A"/>
    <w:rsid w:val="03BF667D"/>
    <w:rsid w:val="03C17FE5"/>
    <w:rsid w:val="03D937D1"/>
    <w:rsid w:val="03DD5F58"/>
    <w:rsid w:val="03F27DA5"/>
    <w:rsid w:val="040B712C"/>
    <w:rsid w:val="04180879"/>
    <w:rsid w:val="041939D5"/>
    <w:rsid w:val="041F0558"/>
    <w:rsid w:val="042951D5"/>
    <w:rsid w:val="04420561"/>
    <w:rsid w:val="0442764C"/>
    <w:rsid w:val="04517B65"/>
    <w:rsid w:val="046C3AE3"/>
    <w:rsid w:val="048D4242"/>
    <w:rsid w:val="048F3CDF"/>
    <w:rsid w:val="049158CE"/>
    <w:rsid w:val="0496011E"/>
    <w:rsid w:val="049657D5"/>
    <w:rsid w:val="049E09C7"/>
    <w:rsid w:val="04BA4159"/>
    <w:rsid w:val="04DE1258"/>
    <w:rsid w:val="04E574B7"/>
    <w:rsid w:val="04EE7B87"/>
    <w:rsid w:val="04F25B61"/>
    <w:rsid w:val="04FE47F9"/>
    <w:rsid w:val="050B7759"/>
    <w:rsid w:val="050E5D44"/>
    <w:rsid w:val="05134C59"/>
    <w:rsid w:val="05256D0F"/>
    <w:rsid w:val="052F46EB"/>
    <w:rsid w:val="05301682"/>
    <w:rsid w:val="054532FC"/>
    <w:rsid w:val="05623C51"/>
    <w:rsid w:val="05646540"/>
    <w:rsid w:val="05693CF4"/>
    <w:rsid w:val="057E2341"/>
    <w:rsid w:val="05894B4F"/>
    <w:rsid w:val="058F1563"/>
    <w:rsid w:val="05912C5F"/>
    <w:rsid w:val="05AB2B49"/>
    <w:rsid w:val="05BB09F9"/>
    <w:rsid w:val="05C268B5"/>
    <w:rsid w:val="05C8703E"/>
    <w:rsid w:val="05CD4BDB"/>
    <w:rsid w:val="06054D7F"/>
    <w:rsid w:val="061D4F6D"/>
    <w:rsid w:val="0622610E"/>
    <w:rsid w:val="062748C2"/>
    <w:rsid w:val="062958E4"/>
    <w:rsid w:val="063221B2"/>
    <w:rsid w:val="063D548D"/>
    <w:rsid w:val="06611C3D"/>
    <w:rsid w:val="0662369E"/>
    <w:rsid w:val="067B5291"/>
    <w:rsid w:val="067D0BC9"/>
    <w:rsid w:val="06850AFF"/>
    <w:rsid w:val="06885A96"/>
    <w:rsid w:val="068877AB"/>
    <w:rsid w:val="068F3D93"/>
    <w:rsid w:val="069158A2"/>
    <w:rsid w:val="069F5DB9"/>
    <w:rsid w:val="06AA3CDC"/>
    <w:rsid w:val="06AC7415"/>
    <w:rsid w:val="06B062FC"/>
    <w:rsid w:val="06B63C96"/>
    <w:rsid w:val="06BB3749"/>
    <w:rsid w:val="06C735C0"/>
    <w:rsid w:val="06D34751"/>
    <w:rsid w:val="06E51B2B"/>
    <w:rsid w:val="06E54495"/>
    <w:rsid w:val="06EB0ABB"/>
    <w:rsid w:val="06FD6931"/>
    <w:rsid w:val="07035447"/>
    <w:rsid w:val="070763E5"/>
    <w:rsid w:val="070F65AD"/>
    <w:rsid w:val="0717233A"/>
    <w:rsid w:val="07266E95"/>
    <w:rsid w:val="0727639F"/>
    <w:rsid w:val="073D7B5B"/>
    <w:rsid w:val="07471B30"/>
    <w:rsid w:val="074E63C4"/>
    <w:rsid w:val="07515566"/>
    <w:rsid w:val="07560295"/>
    <w:rsid w:val="075B4208"/>
    <w:rsid w:val="07714CCF"/>
    <w:rsid w:val="07862691"/>
    <w:rsid w:val="07AF077D"/>
    <w:rsid w:val="07C14049"/>
    <w:rsid w:val="07C22AD4"/>
    <w:rsid w:val="07C27201"/>
    <w:rsid w:val="07C43DA4"/>
    <w:rsid w:val="07D010D9"/>
    <w:rsid w:val="07D609AF"/>
    <w:rsid w:val="07DF4309"/>
    <w:rsid w:val="07FB5DAF"/>
    <w:rsid w:val="08017003"/>
    <w:rsid w:val="08092B08"/>
    <w:rsid w:val="081B063C"/>
    <w:rsid w:val="082127A9"/>
    <w:rsid w:val="08471ED4"/>
    <w:rsid w:val="084B4DE1"/>
    <w:rsid w:val="085E099B"/>
    <w:rsid w:val="08856B83"/>
    <w:rsid w:val="08882AFC"/>
    <w:rsid w:val="08A361CB"/>
    <w:rsid w:val="08A94E2B"/>
    <w:rsid w:val="08B76E6C"/>
    <w:rsid w:val="08C210B7"/>
    <w:rsid w:val="08CA21AB"/>
    <w:rsid w:val="08DC4FB5"/>
    <w:rsid w:val="08E333C8"/>
    <w:rsid w:val="08E95A03"/>
    <w:rsid w:val="08F50B1B"/>
    <w:rsid w:val="08FF2C09"/>
    <w:rsid w:val="09051DC5"/>
    <w:rsid w:val="090B17E6"/>
    <w:rsid w:val="09113BAB"/>
    <w:rsid w:val="09171699"/>
    <w:rsid w:val="09214119"/>
    <w:rsid w:val="093D40E2"/>
    <w:rsid w:val="093D5F0E"/>
    <w:rsid w:val="094039AD"/>
    <w:rsid w:val="094527FA"/>
    <w:rsid w:val="09470006"/>
    <w:rsid w:val="095B1FF4"/>
    <w:rsid w:val="0962228A"/>
    <w:rsid w:val="0965132C"/>
    <w:rsid w:val="096726D8"/>
    <w:rsid w:val="09676D6A"/>
    <w:rsid w:val="097A4C48"/>
    <w:rsid w:val="098321BB"/>
    <w:rsid w:val="09900221"/>
    <w:rsid w:val="09990961"/>
    <w:rsid w:val="09A015D2"/>
    <w:rsid w:val="09A71D4D"/>
    <w:rsid w:val="09AA1D6B"/>
    <w:rsid w:val="09C14164"/>
    <w:rsid w:val="09EB711A"/>
    <w:rsid w:val="09FC3457"/>
    <w:rsid w:val="0A0C679C"/>
    <w:rsid w:val="0A191FEE"/>
    <w:rsid w:val="0A1C2223"/>
    <w:rsid w:val="0A200DBF"/>
    <w:rsid w:val="0A3D489E"/>
    <w:rsid w:val="0A4C4027"/>
    <w:rsid w:val="0A582B33"/>
    <w:rsid w:val="0A80380A"/>
    <w:rsid w:val="0A8B273F"/>
    <w:rsid w:val="0A8E337B"/>
    <w:rsid w:val="0A9B7FEB"/>
    <w:rsid w:val="0AA24ADF"/>
    <w:rsid w:val="0AA27A52"/>
    <w:rsid w:val="0AB22618"/>
    <w:rsid w:val="0AC801F3"/>
    <w:rsid w:val="0AD34316"/>
    <w:rsid w:val="0AE363B8"/>
    <w:rsid w:val="0AFA794E"/>
    <w:rsid w:val="0B3A127A"/>
    <w:rsid w:val="0B3A6176"/>
    <w:rsid w:val="0B3B20C4"/>
    <w:rsid w:val="0B466B48"/>
    <w:rsid w:val="0B517AD9"/>
    <w:rsid w:val="0B604D6E"/>
    <w:rsid w:val="0B613025"/>
    <w:rsid w:val="0B647625"/>
    <w:rsid w:val="0B6D5D62"/>
    <w:rsid w:val="0B8E5009"/>
    <w:rsid w:val="0B9463C6"/>
    <w:rsid w:val="0B964AE3"/>
    <w:rsid w:val="0BA15ED2"/>
    <w:rsid w:val="0BA60CF1"/>
    <w:rsid w:val="0BA80337"/>
    <w:rsid w:val="0BAC4920"/>
    <w:rsid w:val="0BB1512B"/>
    <w:rsid w:val="0BCF13F3"/>
    <w:rsid w:val="0BE47C2F"/>
    <w:rsid w:val="0BE83F23"/>
    <w:rsid w:val="0BE85AD6"/>
    <w:rsid w:val="0BFA23B6"/>
    <w:rsid w:val="0C033BFC"/>
    <w:rsid w:val="0C063BA6"/>
    <w:rsid w:val="0C1C11C7"/>
    <w:rsid w:val="0C284B7A"/>
    <w:rsid w:val="0C3947A7"/>
    <w:rsid w:val="0C5059A6"/>
    <w:rsid w:val="0C52549B"/>
    <w:rsid w:val="0C5F65A4"/>
    <w:rsid w:val="0C674F6C"/>
    <w:rsid w:val="0C72038E"/>
    <w:rsid w:val="0C765B4B"/>
    <w:rsid w:val="0CA76657"/>
    <w:rsid w:val="0CB04FF6"/>
    <w:rsid w:val="0CBE0FF5"/>
    <w:rsid w:val="0CC134D2"/>
    <w:rsid w:val="0CC17E5C"/>
    <w:rsid w:val="0CD52AE6"/>
    <w:rsid w:val="0CDC555A"/>
    <w:rsid w:val="0CF518AA"/>
    <w:rsid w:val="0CF91616"/>
    <w:rsid w:val="0CFE254E"/>
    <w:rsid w:val="0D021055"/>
    <w:rsid w:val="0D08355E"/>
    <w:rsid w:val="0D0B0239"/>
    <w:rsid w:val="0D0F4BC6"/>
    <w:rsid w:val="0D355A53"/>
    <w:rsid w:val="0D361D6D"/>
    <w:rsid w:val="0D69773A"/>
    <w:rsid w:val="0D83794E"/>
    <w:rsid w:val="0DAC5F4E"/>
    <w:rsid w:val="0DAE3012"/>
    <w:rsid w:val="0DAF6DA8"/>
    <w:rsid w:val="0DB63F24"/>
    <w:rsid w:val="0DC1259E"/>
    <w:rsid w:val="0DC20A96"/>
    <w:rsid w:val="0DC343CF"/>
    <w:rsid w:val="0DC56E4A"/>
    <w:rsid w:val="0DC810DD"/>
    <w:rsid w:val="0DD90F5B"/>
    <w:rsid w:val="0DDA73DD"/>
    <w:rsid w:val="0DE265FF"/>
    <w:rsid w:val="0DFB508F"/>
    <w:rsid w:val="0E280467"/>
    <w:rsid w:val="0E454AC7"/>
    <w:rsid w:val="0E510B9E"/>
    <w:rsid w:val="0E5F34E1"/>
    <w:rsid w:val="0E616A41"/>
    <w:rsid w:val="0E637040"/>
    <w:rsid w:val="0E6D21D5"/>
    <w:rsid w:val="0E752D58"/>
    <w:rsid w:val="0E7605A1"/>
    <w:rsid w:val="0E793B5D"/>
    <w:rsid w:val="0E941F70"/>
    <w:rsid w:val="0E955C80"/>
    <w:rsid w:val="0E9B5337"/>
    <w:rsid w:val="0ECB0BB2"/>
    <w:rsid w:val="0ECF013A"/>
    <w:rsid w:val="0EEB1079"/>
    <w:rsid w:val="0EF21A4C"/>
    <w:rsid w:val="0F002754"/>
    <w:rsid w:val="0F145EE4"/>
    <w:rsid w:val="0F2B6B18"/>
    <w:rsid w:val="0F314E25"/>
    <w:rsid w:val="0F371E80"/>
    <w:rsid w:val="0F3B41D3"/>
    <w:rsid w:val="0F4D579E"/>
    <w:rsid w:val="0F504AA5"/>
    <w:rsid w:val="0F50732B"/>
    <w:rsid w:val="0F59069A"/>
    <w:rsid w:val="0F695CFD"/>
    <w:rsid w:val="0F834E83"/>
    <w:rsid w:val="0F8450DA"/>
    <w:rsid w:val="0F8A2812"/>
    <w:rsid w:val="0F942178"/>
    <w:rsid w:val="0F953965"/>
    <w:rsid w:val="0F9543CD"/>
    <w:rsid w:val="0FC92355"/>
    <w:rsid w:val="0FCB7EEF"/>
    <w:rsid w:val="0FDB6EA6"/>
    <w:rsid w:val="0FE87902"/>
    <w:rsid w:val="0FE925B0"/>
    <w:rsid w:val="0FEF4E1F"/>
    <w:rsid w:val="100635FE"/>
    <w:rsid w:val="10143E11"/>
    <w:rsid w:val="10160257"/>
    <w:rsid w:val="10162E19"/>
    <w:rsid w:val="101B0A7C"/>
    <w:rsid w:val="1024007E"/>
    <w:rsid w:val="102B5847"/>
    <w:rsid w:val="102E41B9"/>
    <w:rsid w:val="103C145E"/>
    <w:rsid w:val="103C4286"/>
    <w:rsid w:val="108D1671"/>
    <w:rsid w:val="109446E7"/>
    <w:rsid w:val="10AD27ED"/>
    <w:rsid w:val="10B64ECE"/>
    <w:rsid w:val="10B90484"/>
    <w:rsid w:val="10BF2B44"/>
    <w:rsid w:val="10C16175"/>
    <w:rsid w:val="10C33E76"/>
    <w:rsid w:val="10D00F87"/>
    <w:rsid w:val="10E07A17"/>
    <w:rsid w:val="10E23195"/>
    <w:rsid w:val="10E2373D"/>
    <w:rsid w:val="10E83994"/>
    <w:rsid w:val="10EC19C5"/>
    <w:rsid w:val="10F6724C"/>
    <w:rsid w:val="10FC27FD"/>
    <w:rsid w:val="1101720C"/>
    <w:rsid w:val="110D7509"/>
    <w:rsid w:val="11126CEC"/>
    <w:rsid w:val="111F61CB"/>
    <w:rsid w:val="112A034D"/>
    <w:rsid w:val="11511AA5"/>
    <w:rsid w:val="116C2CA5"/>
    <w:rsid w:val="117D4FD0"/>
    <w:rsid w:val="11971D24"/>
    <w:rsid w:val="119F0671"/>
    <w:rsid w:val="11B718D1"/>
    <w:rsid w:val="11B83EE0"/>
    <w:rsid w:val="11C97026"/>
    <w:rsid w:val="11E372B4"/>
    <w:rsid w:val="11E505EB"/>
    <w:rsid w:val="11EE02EA"/>
    <w:rsid w:val="11EF6D72"/>
    <w:rsid w:val="11F13881"/>
    <w:rsid w:val="11FF5EF1"/>
    <w:rsid w:val="120630E4"/>
    <w:rsid w:val="120D217B"/>
    <w:rsid w:val="12120124"/>
    <w:rsid w:val="121E6941"/>
    <w:rsid w:val="1226097D"/>
    <w:rsid w:val="12292DB6"/>
    <w:rsid w:val="123A60FA"/>
    <w:rsid w:val="123E5E93"/>
    <w:rsid w:val="12435597"/>
    <w:rsid w:val="126216B9"/>
    <w:rsid w:val="1275287A"/>
    <w:rsid w:val="12877A23"/>
    <w:rsid w:val="128A612F"/>
    <w:rsid w:val="128A7956"/>
    <w:rsid w:val="1296003B"/>
    <w:rsid w:val="12A77C62"/>
    <w:rsid w:val="12B71E04"/>
    <w:rsid w:val="12BB6505"/>
    <w:rsid w:val="12DD39BF"/>
    <w:rsid w:val="12DF722D"/>
    <w:rsid w:val="12E95745"/>
    <w:rsid w:val="12F0645F"/>
    <w:rsid w:val="12F94876"/>
    <w:rsid w:val="13025753"/>
    <w:rsid w:val="13060644"/>
    <w:rsid w:val="131A4B44"/>
    <w:rsid w:val="13351106"/>
    <w:rsid w:val="133D3A07"/>
    <w:rsid w:val="135C6C2E"/>
    <w:rsid w:val="135E782E"/>
    <w:rsid w:val="13866EA2"/>
    <w:rsid w:val="13870E16"/>
    <w:rsid w:val="138A51A1"/>
    <w:rsid w:val="139429DB"/>
    <w:rsid w:val="13942EF4"/>
    <w:rsid w:val="139E73BF"/>
    <w:rsid w:val="13B552C7"/>
    <w:rsid w:val="13CD5A5E"/>
    <w:rsid w:val="13D0633B"/>
    <w:rsid w:val="13D16B59"/>
    <w:rsid w:val="13D35117"/>
    <w:rsid w:val="13D900B8"/>
    <w:rsid w:val="13E1436A"/>
    <w:rsid w:val="13E96235"/>
    <w:rsid w:val="14160BCA"/>
    <w:rsid w:val="14165AAF"/>
    <w:rsid w:val="1420281C"/>
    <w:rsid w:val="14287410"/>
    <w:rsid w:val="142F00A7"/>
    <w:rsid w:val="1434265A"/>
    <w:rsid w:val="14433C1B"/>
    <w:rsid w:val="144E4643"/>
    <w:rsid w:val="1470086E"/>
    <w:rsid w:val="1479626F"/>
    <w:rsid w:val="14850B5E"/>
    <w:rsid w:val="14901E7F"/>
    <w:rsid w:val="149A7072"/>
    <w:rsid w:val="149E5EFA"/>
    <w:rsid w:val="14A950C9"/>
    <w:rsid w:val="14AA3BE4"/>
    <w:rsid w:val="14BA5A79"/>
    <w:rsid w:val="14C23D01"/>
    <w:rsid w:val="14D57CDA"/>
    <w:rsid w:val="14DE5FEE"/>
    <w:rsid w:val="14EB69F4"/>
    <w:rsid w:val="14EC3D25"/>
    <w:rsid w:val="14FF1AB4"/>
    <w:rsid w:val="15017399"/>
    <w:rsid w:val="154233CB"/>
    <w:rsid w:val="15451339"/>
    <w:rsid w:val="154831E6"/>
    <w:rsid w:val="155B2A09"/>
    <w:rsid w:val="157810CB"/>
    <w:rsid w:val="1585462B"/>
    <w:rsid w:val="159022BD"/>
    <w:rsid w:val="159652F2"/>
    <w:rsid w:val="159E2F58"/>
    <w:rsid w:val="15AC67B6"/>
    <w:rsid w:val="15CB7299"/>
    <w:rsid w:val="15D94DB7"/>
    <w:rsid w:val="15DB6F8F"/>
    <w:rsid w:val="15E60147"/>
    <w:rsid w:val="15E701DC"/>
    <w:rsid w:val="15ED2C10"/>
    <w:rsid w:val="15F06A0C"/>
    <w:rsid w:val="16026289"/>
    <w:rsid w:val="161B7AD2"/>
    <w:rsid w:val="161E6D6B"/>
    <w:rsid w:val="16254B40"/>
    <w:rsid w:val="165D692E"/>
    <w:rsid w:val="16625F19"/>
    <w:rsid w:val="166B650B"/>
    <w:rsid w:val="166F1BA7"/>
    <w:rsid w:val="167D0961"/>
    <w:rsid w:val="168644F5"/>
    <w:rsid w:val="16975D87"/>
    <w:rsid w:val="16990DC9"/>
    <w:rsid w:val="169F5785"/>
    <w:rsid w:val="16B0684C"/>
    <w:rsid w:val="16BD486F"/>
    <w:rsid w:val="16CE6BE1"/>
    <w:rsid w:val="16EA7F80"/>
    <w:rsid w:val="16FE0FDA"/>
    <w:rsid w:val="1701616C"/>
    <w:rsid w:val="17064AF6"/>
    <w:rsid w:val="17102390"/>
    <w:rsid w:val="1723205E"/>
    <w:rsid w:val="17390F22"/>
    <w:rsid w:val="173C1532"/>
    <w:rsid w:val="17614922"/>
    <w:rsid w:val="1779512B"/>
    <w:rsid w:val="17A41C4D"/>
    <w:rsid w:val="17AC693C"/>
    <w:rsid w:val="17C8754C"/>
    <w:rsid w:val="17CA61C8"/>
    <w:rsid w:val="17CF4D44"/>
    <w:rsid w:val="17ED033F"/>
    <w:rsid w:val="180833DF"/>
    <w:rsid w:val="180E2CDA"/>
    <w:rsid w:val="181C745D"/>
    <w:rsid w:val="1826246A"/>
    <w:rsid w:val="182D7E6D"/>
    <w:rsid w:val="18327972"/>
    <w:rsid w:val="183844CD"/>
    <w:rsid w:val="185519AD"/>
    <w:rsid w:val="185973A4"/>
    <w:rsid w:val="18657456"/>
    <w:rsid w:val="186E097F"/>
    <w:rsid w:val="186E1120"/>
    <w:rsid w:val="18822715"/>
    <w:rsid w:val="189863CC"/>
    <w:rsid w:val="189C3E6D"/>
    <w:rsid w:val="18B43741"/>
    <w:rsid w:val="18CB0B51"/>
    <w:rsid w:val="18DB0DD3"/>
    <w:rsid w:val="18F9298B"/>
    <w:rsid w:val="19033670"/>
    <w:rsid w:val="190E0A04"/>
    <w:rsid w:val="191946DD"/>
    <w:rsid w:val="192621D1"/>
    <w:rsid w:val="19286D6F"/>
    <w:rsid w:val="1929565E"/>
    <w:rsid w:val="19312CA7"/>
    <w:rsid w:val="19625765"/>
    <w:rsid w:val="196A0560"/>
    <w:rsid w:val="196D7830"/>
    <w:rsid w:val="197D025B"/>
    <w:rsid w:val="198153B1"/>
    <w:rsid w:val="1987773A"/>
    <w:rsid w:val="198E3318"/>
    <w:rsid w:val="19902F7F"/>
    <w:rsid w:val="19974D41"/>
    <w:rsid w:val="199D248C"/>
    <w:rsid w:val="199E1EDF"/>
    <w:rsid w:val="19A60C7E"/>
    <w:rsid w:val="19AA31B7"/>
    <w:rsid w:val="19D44F2B"/>
    <w:rsid w:val="19D817A6"/>
    <w:rsid w:val="19DC02ED"/>
    <w:rsid w:val="19E617BD"/>
    <w:rsid w:val="19E822EA"/>
    <w:rsid w:val="19ED1F13"/>
    <w:rsid w:val="19EE7546"/>
    <w:rsid w:val="19F34734"/>
    <w:rsid w:val="1A0B06A2"/>
    <w:rsid w:val="1A0F7640"/>
    <w:rsid w:val="1A105FD5"/>
    <w:rsid w:val="1A10796F"/>
    <w:rsid w:val="1A22015A"/>
    <w:rsid w:val="1A2C1E15"/>
    <w:rsid w:val="1A2C65ED"/>
    <w:rsid w:val="1A345EC5"/>
    <w:rsid w:val="1A3514E9"/>
    <w:rsid w:val="1A5157AE"/>
    <w:rsid w:val="1A5C1E78"/>
    <w:rsid w:val="1A5F4D41"/>
    <w:rsid w:val="1A740C00"/>
    <w:rsid w:val="1AA117B7"/>
    <w:rsid w:val="1AA52845"/>
    <w:rsid w:val="1ABB4A57"/>
    <w:rsid w:val="1AC924F1"/>
    <w:rsid w:val="1ACE6350"/>
    <w:rsid w:val="1ADB1E96"/>
    <w:rsid w:val="1AE04F74"/>
    <w:rsid w:val="1B140819"/>
    <w:rsid w:val="1B23025D"/>
    <w:rsid w:val="1B285817"/>
    <w:rsid w:val="1B2C2567"/>
    <w:rsid w:val="1B306976"/>
    <w:rsid w:val="1B487A67"/>
    <w:rsid w:val="1B5D43F2"/>
    <w:rsid w:val="1B5E59C9"/>
    <w:rsid w:val="1B611466"/>
    <w:rsid w:val="1B6E2CDA"/>
    <w:rsid w:val="1B792BD3"/>
    <w:rsid w:val="1B9C5CCA"/>
    <w:rsid w:val="1B9E1E25"/>
    <w:rsid w:val="1BA34917"/>
    <w:rsid w:val="1BA834DB"/>
    <w:rsid w:val="1BA87139"/>
    <w:rsid w:val="1BB351ED"/>
    <w:rsid w:val="1BC35C59"/>
    <w:rsid w:val="1BC6075D"/>
    <w:rsid w:val="1BE4700B"/>
    <w:rsid w:val="1BEA7F57"/>
    <w:rsid w:val="1BEB3B79"/>
    <w:rsid w:val="1BF632AC"/>
    <w:rsid w:val="1BFC19BB"/>
    <w:rsid w:val="1BFD3FED"/>
    <w:rsid w:val="1C2504C4"/>
    <w:rsid w:val="1C3E107B"/>
    <w:rsid w:val="1C43758A"/>
    <w:rsid w:val="1C691F4F"/>
    <w:rsid w:val="1C7B0AD9"/>
    <w:rsid w:val="1C7B1C9A"/>
    <w:rsid w:val="1C8057D4"/>
    <w:rsid w:val="1C894ABB"/>
    <w:rsid w:val="1C902514"/>
    <w:rsid w:val="1CB41A3B"/>
    <w:rsid w:val="1CB64F8E"/>
    <w:rsid w:val="1CBD6681"/>
    <w:rsid w:val="1CD62BF3"/>
    <w:rsid w:val="1CF52BE0"/>
    <w:rsid w:val="1D3E7B89"/>
    <w:rsid w:val="1D500B20"/>
    <w:rsid w:val="1D5C0D1A"/>
    <w:rsid w:val="1D6A124D"/>
    <w:rsid w:val="1D6F6DF0"/>
    <w:rsid w:val="1D842474"/>
    <w:rsid w:val="1D997FB5"/>
    <w:rsid w:val="1DAF0546"/>
    <w:rsid w:val="1DC84242"/>
    <w:rsid w:val="1DFB18CB"/>
    <w:rsid w:val="1E094AA3"/>
    <w:rsid w:val="1E0D1928"/>
    <w:rsid w:val="1E1848F2"/>
    <w:rsid w:val="1E1A3693"/>
    <w:rsid w:val="1E2C4317"/>
    <w:rsid w:val="1E2F0896"/>
    <w:rsid w:val="1E4B07B8"/>
    <w:rsid w:val="1E5F0933"/>
    <w:rsid w:val="1E616B1F"/>
    <w:rsid w:val="1E6B2988"/>
    <w:rsid w:val="1E824EE2"/>
    <w:rsid w:val="1EAA184C"/>
    <w:rsid w:val="1ECC268D"/>
    <w:rsid w:val="1ED72574"/>
    <w:rsid w:val="1EE11D97"/>
    <w:rsid w:val="1EE827DB"/>
    <w:rsid w:val="1F015E92"/>
    <w:rsid w:val="1F080B30"/>
    <w:rsid w:val="1F157BF2"/>
    <w:rsid w:val="1F292FA3"/>
    <w:rsid w:val="1F2C67BD"/>
    <w:rsid w:val="1F462AB3"/>
    <w:rsid w:val="1F544581"/>
    <w:rsid w:val="1F5930E6"/>
    <w:rsid w:val="1F5B363E"/>
    <w:rsid w:val="1F725C00"/>
    <w:rsid w:val="1F7A6DD0"/>
    <w:rsid w:val="1F7E0B5A"/>
    <w:rsid w:val="1F847269"/>
    <w:rsid w:val="1F8A7D6A"/>
    <w:rsid w:val="1F8D25FE"/>
    <w:rsid w:val="1F9532F2"/>
    <w:rsid w:val="1F9B525A"/>
    <w:rsid w:val="1F9E741C"/>
    <w:rsid w:val="1FA034AE"/>
    <w:rsid w:val="1FAA1A57"/>
    <w:rsid w:val="1FBB3619"/>
    <w:rsid w:val="1FBD4F2D"/>
    <w:rsid w:val="1FC114E1"/>
    <w:rsid w:val="1FC76019"/>
    <w:rsid w:val="1FD94DA0"/>
    <w:rsid w:val="1FDE4584"/>
    <w:rsid w:val="1FE5726A"/>
    <w:rsid w:val="1FF81365"/>
    <w:rsid w:val="2006403F"/>
    <w:rsid w:val="201001F0"/>
    <w:rsid w:val="20127FDF"/>
    <w:rsid w:val="20163FEB"/>
    <w:rsid w:val="20183C9A"/>
    <w:rsid w:val="20197A77"/>
    <w:rsid w:val="201C737D"/>
    <w:rsid w:val="204E288D"/>
    <w:rsid w:val="20586BF0"/>
    <w:rsid w:val="205F1451"/>
    <w:rsid w:val="205F300D"/>
    <w:rsid w:val="20692C6F"/>
    <w:rsid w:val="20866EB2"/>
    <w:rsid w:val="2087789B"/>
    <w:rsid w:val="208B14F3"/>
    <w:rsid w:val="20A40C5D"/>
    <w:rsid w:val="20A451D4"/>
    <w:rsid w:val="20B154E2"/>
    <w:rsid w:val="20BC5FBC"/>
    <w:rsid w:val="20CA0D4F"/>
    <w:rsid w:val="20D059C7"/>
    <w:rsid w:val="20E24199"/>
    <w:rsid w:val="20FF6B86"/>
    <w:rsid w:val="21081298"/>
    <w:rsid w:val="21102EBD"/>
    <w:rsid w:val="212200BD"/>
    <w:rsid w:val="21255104"/>
    <w:rsid w:val="212825F3"/>
    <w:rsid w:val="212F5E69"/>
    <w:rsid w:val="2137073A"/>
    <w:rsid w:val="2139199A"/>
    <w:rsid w:val="213D5EEE"/>
    <w:rsid w:val="21410FA3"/>
    <w:rsid w:val="21422748"/>
    <w:rsid w:val="214C558B"/>
    <w:rsid w:val="21510610"/>
    <w:rsid w:val="21567C4A"/>
    <w:rsid w:val="21AE5036"/>
    <w:rsid w:val="21C87420"/>
    <w:rsid w:val="21CD0F81"/>
    <w:rsid w:val="21D467D0"/>
    <w:rsid w:val="21DC2D2F"/>
    <w:rsid w:val="21E042D2"/>
    <w:rsid w:val="21E4683D"/>
    <w:rsid w:val="21E8557E"/>
    <w:rsid w:val="21EE0856"/>
    <w:rsid w:val="21FE4277"/>
    <w:rsid w:val="22026A86"/>
    <w:rsid w:val="220C7A8E"/>
    <w:rsid w:val="221B6F83"/>
    <w:rsid w:val="22606E69"/>
    <w:rsid w:val="226136CF"/>
    <w:rsid w:val="226F3F5B"/>
    <w:rsid w:val="22755C8B"/>
    <w:rsid w:val="227E3E7A"/>
    <w:rsid w:val="227F0C51"/>
    <w:rsid w:val="22A5010D"/>
    <w:rsid w:val="22B13043"/>
    <w:rsid w:val="22C40F2F"/>
    <w:rsid w:val="22CD1839"/>
    <w:rsid w:val="22CD581B"/>
    <w:rsid w:val="22D976DF"/>
    <w:rsid w:val="22F17528"/>
    <w:rsid w:val="22F74AAE"/>
    <w:rsid w:val="22FE39E9"/>
    <w:rsid w:val="230E6E17"/>
    <w:rsid w:val="230F0529"/>
    <w:rsid w:val="231A5B8E"/>
    <w:rsid w:val="232966CB"/>
    <w:rsid w:val="232D544B"/>
    <w:rsid w:val="233031DF"/>
    <w:rsid w:val="23360B67"/>
    <w:rsid w:val="23540570"/>
    <w:rsid w:val="23546BF6"/>
    <w:rsid w:val="235E72CD"/>
    <w:rsid w:val="236679A3"/>
    <w:rsid w:val="236E3A66"/>
    <w:rsid w:val="23803777"/>
    <w:rsid w:val="23866E4C"/>
    <w:rsid w:val="238B2737"/>
    <w:rsid w:val="239B55A4"/>
    <w:rsid w:val="23AB66ED"/>
    <w:rsid w:val="23AB7F82"/>
    <w:rsid w:val="23AC1F4F"/>
    <w:rsid w:val="23B07365"/>
    <w:rsid w:val="23C22318"/>
    <w:rsid w:val="23C456D7"/>
    <w:rsid w:val="23CB24F9"/>
    <w:rsid w:val="23EA5C1C"/>
    <w:rsid w:val="23F17CCB"/>
    <w:rsid w:val="23F84647"/>
    <w:rsid w:val="23FA6CCF"/>
    <w:rsid w:val="24057665"/>
    <w:rsid w:val="24173824"/>
    <w:rsid w:val="241815F3"/>
    <w:rsid w:val="242004F1"/>
    <w:rsid w:val="242B318C"/>
    <w:rsid w:val="242E5D3E"/>
    <w:rsid w:val="24490A5B"/>
    <w:rsid w:val="24614691"/>
    <w:rsid w:val="24617C3E"/>
    <w:rsid w:val="24652731"/>
    <w:rsid w:val="247051EE"/>
    <w:rsid w:val="24762B40"/>
    <w:rsid w:val="249009A1"/>
    <w:rsid w:val="249102DB"/>
    <w:rsid w:val="249A183B"/>
    <w:rsid w:val="24C236E6"/>
    <w:rsid w:val="24C95506"/>
    <w:rsid w:val="24D34697"/>
    <w:rsid w:val="24E34AED"/>
    <w:rsid w:val="24E420C6"/>
    <w:rsid w:val="24F771CF"/>
    <w:rsid w:val="25056FB3"/>
    <w:rsid w:val="2508176E"/>
    <w:rsid w:val="25104558"/>
    <w:rsid w:val="251726B0"/>
    <w:rsid w:val="251B4235"/>
    <w:rsid w:val="25297E69"/>
    <w:rsid w:val="252E3A74"/>
    <w:rsid w:val="252F712E"/>
    <w:rsid w:val="253C1672"/>
    <w:rsid w:val="25433C66"/>
    <w:rsid w:val="25476D2E"/>
    <w:rsid w:val="25547E98"/>
    <w:rsid w:val="25615623"/>
    <w:rsid w:val="256D55E8"/>
    <w:rsid w:val="257112FC"/>
    <w:rsid w:val="257A1F33"/>
    <w:rsid w:val="25924F3F"/>
    <w:rsid w:val="25950A72"/>
    <w:rsid w:val="259A0BA6"/>
    <w:rsid w:val="259B09DF"/>
    <w:rsid w:val="25A761FE"/>
    <w:rsid w:val="25AD588D"/>
    <w:rsid w:val="25BA07E6"/>
    <w:rsid w:val="25CF74A8"/>
    <w:rsid w:val="25E15365"/>
    <w:rsid w:val="25F67EE6"/>
    <w:rsid w:val="26242A78"/>
    <w:rsid w:val="26473BA2"/>
    <w:rsid w:val="26500835"/>
    <w:rsid w:val="265C174E"/>
    <w:rsid w:val="265C7D8D"/>
    <w:rsid w:val="26603941"/>
    <w:rsid w:val="266A5BA2"/>
    <w:rsid w:val="266D6B70"/>
    <w:rsid w:val="266E6447"/>
    <w:rsid w:val="268B29DB"/>
    <w:rsid w:val="26942068"/>
    <w:rsid w:val="2696390E"/>
    <w:rsid w:val="26992607"/>
    <w:rsid w:val="26B45224"/>
    <w:rsid w:val="26BF5D4F"/>
    <w:rsid w:val="26E32570"/>
    <w:rsid w:val="26EE00AB"/>
    <w:rsid w:val="26EE41A7"/>
    <w:rsid w:val="26F621F0"/>
    <w:rsid w:val="2704081E"/>
    <w:rsid w:val="272D7123"/>
    <w:rsid w:val="27300757"/>
    <w:rsid w:val="273038D9"/>
    <w:rsid w:val="2731040B"/>
    <w:rsid w:val="27410908"/>
    <w:rsid w:val="2745604B"/>
    <w:rsid w:val="275421A8"/>
    <w:rsid w:val="276D6A74"/>
    <w:rsid w:val="27772601"/>
    <w:rsid w:val="277C49A7"/>
    <w:rsid w:val="277E60D8"/>
    <w:rsid w:val="27877DC6"/>
    <w:rsid w:val="279F54B7"/>
    <w:rsid w:val="27AF4F9A"/>
    <w:rsid w:val="27C12D9E"/>
    <w:rsid w:val="27C702F7"/>
    <w:rsid w:val="27D557A3"/>
    <w:rsid w:val="27DC4364"/>
    <w:rsid w:val="27E1611E"/>
    <w:rsid w:val="27E92D88"/>
    <w:rsid w:val="280E1251"/>
    <w:rsid w:val="28152608"/>
    <w:rsid w:val="281B1C84"/>
    <w:rsid w:val="281D3914"/>
    <w:rsid w:val="28376AC0"/>
    <w:rsid w:val="283D7199"/>
    <w:rsid w:val="284A296A"/>
    <w:rsid w:val="284D2DAC"/>
    <w:rsid w:val="284D326C"/>
    <w:rsid w:val="28785711"/>
    <w:rsid w:val="288F3B44"/>
    <w:rsid w:val="289B6406"/>
    <w:rsid w:val="28B878FC"/>
    <w:rsid w:val="28B90401"/>
    <w:rsid w:val="28BD6B3E"/>
    <w:rsid w:val="28C025CA"/>
    <w:rsid w:val="28D378D4"/>
    <w:rsid w:val="28DE4C72"/>
    <w:rsid w:val="28F02194"/>
    <w:rsid w:val="2900569B"/>
    <w:rsid w:val="29046C97"/>
    <w:rsid w:val="290D397D"/>
    <w:rsid w:val="29195431"/>
    <w:rsid w:val="29232404"/>
    <w:rsid w:val="292944ED"/>
    <w:rsid w:val="2932434E"/>
    <w:rsid w:val="29506650"/>
    <w:rsid w:val="295668FC"/>
    <w:rsid w:val="295A211C"/>
    <w:rsid w:val="299D0710"/>
    <w:rsid w:val="29BB257F"/>
    <w:rsid w:val="29BE4280"/>
    <w:rsid w:val="29C455DE"/>
    <w:rsid w:val="29CB131F"/>
    <w:rsid w:val="29D16C99"/>
    <w:rsid w:val="29D214EE"/>
    <w:rsid w:val="29DF136A"/>
    <w:rsid w:val="29ED3FEB"/>
    <w:rsid w:val="29F153D0"/>
    <w:rsid w:val="29F42098"/>
    <w:rsid w:val="29F572CD"/>
    <w:rsid w:val="2A0C3882"/>
    <w:rsid w:val="2A0D04F8"/>
    <w:rsid w:val="2A183E8A"/>
    <w:rsid w:val="2A2C2493"/>
    <w:rsid w:val="2A2D2C29"/>
    <w:rsid w:val="2A39706C"/>
    <w:rsid w:val="2A493F24"/>
    <w:rsid w:val="2A4F23DA"/>
    <w:rsid w:val="2A645554"/>
    <w:rsid w:val="2A783C52"/>
    <w:rsid w:val="2A7F5D91"/>
    <w:rsid w:val="2A954430"/>
    <w:rsid w:val="2AA04ECA"/>
    <w:rsid w:val="2AAF13EF"/>
    <w:rsid w:val="2ABB75C1"/>
    <w:rsid w:val="2ABD7D1E"/>
    <w:rsid w:val="2AC0072E"/>
    <w:rsid w:val="2AC35DC2"/>
    <w:rsid w:val="2AC52627"/>
    <w:rsid w:val="2ACF54E3"/>
    <w:rsid w:val="2ADB3FF0"/>
    <w:rsid w:val="2ADF510E"/>
    <w:rsid w:val="2AE10CAC"/>
    <w:rsid w:val="2AFC6E64"/>
    <w:rsid w:val="2B3075BB"/>
    <w:rsid w:val="2B393400"/>
    <w:rsid w:val="2B3F20DE"/>
    <w:rsid w:val="2B482B63"/>
    <w:rsid w:val="2B492C24"/>
    <w:rsid w:val="2B597963"/>
    <w:rsid w:val="2B5E5945"/>
    <w:rsid w:val="2B8A7526"/>
    <w:rsid w:val="2B903030"/>
    <w:rsid w:val="2B940803"/>
    <w:rsid w:val="2B955C1E"/>
    <w:rsid w:val="2B96489E"/>
    <w:rsid w:val="2B9E0484"/>
    <w:rsid w:val="2BA433C8"/>
    <w:rsid w:val="2BB93A9B"/>
    <w:rsid w:val="2BCA0BF6"/>
    <w:rsid w:val="2BCA4F40"/>
    <w:rsid w:val="2BE535FB"/>
    <w:rsid w:val="2BFA731B"/>
    <w:rsid w:val="2C0923CE"/>
    <w:rsid w:val="2C1442EE"/>
    <w:rsid w:val="2C274B71"/>
    <w:rsid w:val="2C2871DB"/>
    <w:rsid w:val="2C33604D"/>
    <w:rsid w:val="2C4E6C2E"/>
    <w:rsid w:val="2C501E6C"/>
    <w:rsid w:val="2C77675C"/>
    <w:rsid w:val="2C851634"/>
    <w:rsid w:val="2C857D20"/>
    <w:rsid w:val="2C8D384B"/>
    <w:rsid w:val="2C9D70E1"/>
    <w:rsid w:val="2CB46E70"/>
    <w:rsid w:val="2CCB4165"/>
    <w:rsid w:val="2CDA2AF9"/>
    <w:rsid w:val="2CE82A54"/>
    <w:rsid w:val="2D123A68"/>
    <w:rsid w:val="2D292B1F"/>
    <w:rsid w:val="2D2D593D"/>
    <w:rsid w:val="2D2E5DD2"/>
    <w:rsid w:val="2D3B122B"/>
    <w:rsid w:val="2D3F1C44"/>
    <w:rsid w:val="2D4156B2"/>
    <w:rsid w:val="2D4F716A"/>
    <w:rsid w:val="2D6E4306"/>
    <w:rsid w:val="2D703448"/>
    <w:rsid w:val="2D79637D"/>
    <w:rsid w:val="2D862EE1"/>
    <w:rsid w:val="2D8716E6"/>
    <w:rsid w:val="2D97397E"/>
    <w:rsid w:val="2D9B49E5"/>
    <w:rsid w:val="2DAA6B85"/>
    <w:rsid w:val="2DB31E57"/>
    <w:rsid w:val="2DCA6C82"/>
    <w:rsid w:val="2E057C7C"/>
    <w:rsid w:val="2E1315C3"/>
    <w:rsid w:val="2E157409"/>
    <w:rsid w:val="2E257A57"/>
    <w:rsid w:val="2E367B0C"/>
    <w:rsid w:val="2E3952C3"/>
    <w:rsid w:val="2E615046"/>
    <w:rsid w:val="2E73521D"/>
    <w:rsid w:val="2E843599"/>
    <w:rsid w:val="2E861E75"/>
    <w:rsid w:val="2E8E7B06"/>
    <w:rsid w:val="2EC12412"/>
    <w:rsid w:val="2EE32C95"/>
    <w:rsid w:val="2EFC1FDA"/>
    <w:rsid w:val="2F04296C"/>
    <w:rsid w:val="2F0E214F"/>
    <w:rsid w:val="2F107687"/>
    <w:rsid w:val="2F286BD7"/>
    <w:rsid w:val="2F2C6872"/>
    <w:rsid w:val="2F3A6760"/>
    <w:rsid w:val="2F4338E2"/>
    <w:rsid w:val="2F500B0E"/>
    <w:rsid w:val="2FA62B62"/>
    <w:rsid w:val="2FB24627"/>
    <w:rsid w:val="2FB425D8"/>
    <w:rsid w:val="2FCA4811"/>
    <w:rsid w:val="2FD0786D"/>
    <w:rsid w:val="2FF82C0C"/>
    <w:rsid w:val="3006103B"/>
    <w:rsid w:val="300D3063"/>
    <w:rsid w:val="301510DA"/>
    <w:rsid w:val="303346FD"/>
    <w:rsid w:val="303C52B6"/>
    <w:rsid w:val="305673D4"/>
    <w:rsid w:val="305779AF"/>
    <w:rsid w:val="305D276F"/>
    <w:rsid w:val="30803113"/>
    <w:rsid w:val="30815EE9"/>
    <w:rsid w:val="30821DE0"/>
    <w:rsid w:val="3090531A"/>
    <w:rsid w:val="309220C0"/>
    <w:rsid w:val="30931789"/>
    <w:rsid w:val="30C77DC9"/>
    <w:rsid w:val="30CC1D9F"/>
    <w:rsid w:val="30D32AEF"/>
    <w:rsid w:val="30DB48D8"/>
    <w:rsid w:val="30E02ABB"/>
    <w:rsid w:val="30E21C58"/>
    <w:rsid w:val="30F97214"/>
    <w:rsid w:val="310A2B62"/>
    <w:rsid w:val="31161650"/>
    <w:rsid w:val="311831A5"/>
    <w:rsid w:val="31187EB8"/>
    <w:rsid w:val="312B6A1A"/>
    <w:rsid w:val="312C5289"/>
    <w:rsid w:val="315063F4"/>
    <w:rsid w:val="315C65FA"/>
    <w:rsid w:val="31633185"/>
    <w:rsid w:val="316D5DF1"/>
    <w:rsid w:val="31807756"/>
    <w:rsid w:val="318913E1"/>
    <w:rsid w:val="31C73372"/>
    <w:rsid w:val="31D06692"/>
    <w:rsid w:val="31FD290A"/>
    <w:rsid w:val="31FF774E"/>
    <w:rsid w:val="320A4361"/>
    <w:rsid w:val="320B799C"/>
    <w:rsid w:val="323E1BDA"/>
    <w:rsid w:val="323F58CB"/>
    <w:rsid w:val="325748A8"/>
    <w:rsid w:val="325D776C"/>
    <w:rsid w:val="3280465B"/>
    <w:rsid w:val="3284086B"/>
    <w:rsid w:val="329C4A1C"/>
    <w:rsid w:val="329D4BF7"/>
    <w:rsid w:val="329F3944"/>
    <w:rsid w:val="32B77316"/>
    <w:rsid w:val="32D972C4"/>
    <w:rsid w:val="32DE0E35"/>
    <w:rsid w:val="32E87A85"/>
    <w:rsid w:val="32EC1899"/>
    <w:rsid w:val="32EF6AA3"/>
    <w:rsid w:val="32F233F7"/>
    <w:rsid w:val="3304651E"/>
    <w:rsid w:val="331D0296"/>
    <w:rsid w:val="331D3D24"/>
    <w:rsid w:val="331E34A2"/>
    <w:rsid w:val="33247D31"/>
    <w:rsid w:val="332E19CD"/>
    <w:rsid w:val="33300786"/>
    <w:rsid w:val="33301FA4"/>
    <w:rsid w:val="334E276A"/>
    <w:rsid w:val="335262B0"/>
    <w:rsid w:val="33613C03"/>
    <w:rsid w:val="336E4B43"/>
    <w:rsid w:val="338F2042"/>
    <w:rsid w:val="33A66766"/>
    <w:rsid w:val="33B2066C"/>
    <w:rsid w:val="33B53363"/>
    <w:rsid w:val="33B54AFD"/>
    <w:rsid w:val="33CB2558"/>
    <w:rsid w:val="33CD08A1"/>
    <w:rsid w:val="33D9129D"/>
    <w:rsid w:val="33EE76E5"/>
    <w:rsid w:val="33F91939"/>
    <w:rsid w:val="341F2908"/>
    <w:rsid w:val="34210A68"/>
    <w:rsid w:val="345647F8"/>
    <w:rsid w:val="34700D14"/>
    <w:rsid w:val="3483316D"/>
    <w:rsid w:val="34853C27"/>
    <w:rsid w:val="349B76C9"/>
    <w:rsid w:val="34A63006"/>
    <w:rsid w:val="34AC2CD8"/>
    <w:rsid w:val="34B277B0"/>
    <w:rsid w:val="34C4115D"/>
    <w:rsid w:val="34D12DC8"/>
    <w:rsid w:val="34D90AE7"/>
    <w:rsid w:val="34DD1FEF"/>
    <w:rsid w:val="34DD70B9"/>
    <w:rsid w:val="34F6398C"/>
    <w:rsid w:val="35035974"/>
    <w:rsid w:val="350A62FF"/>
    <w:rsid w:val="350A7D28"/>
    <w:rsid w:val="350B6510"/>
    <w:rsid w:val="350E0F8B"/>
    <w:rsid w:val="35101ADA"/>
    <w:rsid w:val="352E6919"/>
    <w:rsid w:val="35392815"/>
    <w:rsid w:val="353E5E57"/>
    <w:rsid w:val="3544368A"/>
    <w:rsid w:val="354C4EF2"/>
    <w:rsid w:val="357B4DED"/>
    <w:rsid w:val="357F55D4"/>
    <w:rsid w:val="35B84FC2"/>
    <w:rsid w:val="35C84182"/>
    <w:rsid w:val="35D6241E"/>
    <w:rsid w:val="35DE189F"/>
    <w:rsid w:val="35F4694E"/>
    <w:rsid w:val="35F77EB3"/>
    <w:rsid w:val="35FB5DCC"/>
    <w:rsid w:val="36027B51"/>
    <w:rsid w:val="3608222F"/>
    <w:rsid w:val="360C76B1"/>
    <w:rsid w:val="36165572"/>
    <w:rsid w:val="361B2E6F"/>
    <w:rsid w:val="362A5B55"/>
    <w:rsid w:val="3651743E"/>
    <w:rsid w:val="36654F74"/>
    <w:rsid w:val="366C0489"/>
    <w:rsid w:val="368E2A26"/>
    <w:rsid w:val="36A43554"/>
    <w:rsid w:val="36B04EF8"/>
    <w:rsid w:val="36BC19F3"/>
    <w:rsid w:val="36F41F24"/>
    <w:rsid w:val="36F6619E"/>
    <w:rsid w:val="371414AF"/>
    <w:rsid w:val="37145939"/>
    <w:rsid w:val="37227C6E"/>
    <w:rsid w:val="372352B1"/>
    <w:rsid w:val="372419F6"/>
    <w:rsid w:val="37302B60"/>
    <w:rsid w:val="37415B3E"/>
    <w:rsid w:val="374803DE"/>
    <w:rsid w:val="374A6B63"/>
    <w:rsid w:val="375E684E"/>
    <w:rsid w:val="376254AA"/>
    <w:rsid w:val="376A2568"/>
    <w:rsid w:val="37717401"/>
    <w:rsid w:val="377F7848"/>
    <w:rsid w:val="378E31B8"/>
    <w:rsid w:val="37950026"/>
    <w:rsid w:val="37987206"/>
    <w:rsid w:val="37A14E5C"/>
    <w:rsid w:val="37B0452F"/>
    <w:rsid w:val="37C804A5"/>
    <w:rsid w:val="37D03913"/>
    <w:rsid w:val="37D06450"/>
    <w:rsid w:val="37D53A6D"/>
    <w:rsid w:val="37F066E8"/>
    <w:rsid w:val="37F57938"/>
    <w:rsid w:val="37FE4C8D"/>
    <w:rsid w:val="38044ACC"/>
    <w:rsid w:val="382A0777"/>
    <w:rsid w:val="384127E3"/>
    <w:rsid w:val="384D2501"/>
    <w:rsid w:val="3868784F"/>
    <w:rsid w:val="38860939"/>
    <w:rsid w:val="388B6D1A"/>
    <w:rsid w:val="388D6D90"/>
    <w:rsid w:val="38941D83"/>
    <w:rsid w:val="38AA25CF"/>
    <w:rsid w:val="38B92505"/>
    <w:rsid w:val="38C417CC"/>
    <w:rsid w:val="38CF1D7B"/>
    <w:rsid w:val="38D54E85"/>
    <w:rsid w:val="38E61B32"/>
    <w:rsid w:val="38F91F31"/>
    <w:rsid w:val="38FC6529"/>
    <w:rsid w:val="39024D86"/>
    <w:rsid w:val="39047840"/>
    <w:rsid w:val="3907382E"/>
    <w:rsid w:val="3919548F"/>
    <w:rsid w:val="3931644D"/>
    <w:rsid w:val="39470725"/>
    <w:rsid w:val="395220CE"/>
    <w:rsid w:val="39527D32"/>
    <w:rsid w:val="395D5A1A"/>
    <w:rsid w:val="39630F90"/>
    <w:rsid w:val="39734831"/>
    <w:rsid w:val="39764EAE"/>
    <w:rsid w:val="39896005"/>
    <w:rsid w:val="39990BE3"/>
    <w:rsid w:val="3999764F"/>
    <w:rsid w:val="399B2DE1"/>
    <w:rsid w:val="39A43E31"/>
    <w:rsid w:val="39AF5F61"/>
    <w:rsid w:val="3A1174BD"/>
    <w:rsid w:val="3A1B3B9C"/>
    <w:rsid w:val="3A3473E5"/>
    <w:rsid w:val="3A505CFB"/>
    <w:rsid w:val="3A6A3A8D"/>
    <w:rsid w:val="3A776F2D"/>
    <w:rsid w:val="3A7C2C55"/>
    <w:rsid w:val="3A8826ED"/>
    <w:rsid w:val="3A8D60F6"/>
    <w:rsid w:val="3A8D79BC"/>
    <w:rsid w:val="3A986363"/>
    <w:rsid w:val="3AA004A9"/>
    <w:rsid w:val="3AA969D1"/>
    <w:rsid w:val="3AAC4509"/>
    <w:rsid w:val="3ABC23EB"/>
    <w:rsid w:val="3AC21CC5"/>
    <w:rsid w:val="3AD81C89"/>
    <w:rsid w:val="3AE5103A"/>
    <w:rsid w:val="3AED61B0"/>
    <w:rsid w:val="3AF3013B"/>
    <w:rsid w:val="3B1E42A9"/>
    <w:rsid w:val="3B315EB0"/>
    <w:rsid w:val="3B4258CE"/>
    <w:rsid w:val="3B4F052D"/>
    <w:rsid w:val="3B5A2876"/>
    <w:rsid w:val="3B5F50A1"/>
    <w:rsid w:val="3B6F5102"/>
    <w:rsid w:val="3B6F67E1"/>
    <w:rsid w:val="3B834D74"/>
    <w:rsid w:val="3B9A5676"/>
    <w:rsid w:val="3B9B3D20"/>
    <w:rsid w:val="3BA25313"/>
    <w:rsid w:val="3BB43E23"/>
    <w:rsid w:val="3BB9273B"/>
    <w:rsid w:val="3BC81E67"/>
    <w:rsid w:val="3BCA21B8"/>
    <w:rsid w:val="3BCB5C90"/>
    <w:rsid w:val="3BD551A6"/>
    <w:rsid w:val="3BE1331C"/>
    <w:rsid w:val="3BE84C3A"/>
    <w:rsid w:val="3C1D18EE"/>
    <w:rsid w:val="3C22648D"/>
    <w:rsid w:val="3C2446B1"/>
    <w:rsid w:val="3C35386E"/>
    <w:rsid w:val="3C3C29FE"/>
    <w:rsid w:val="3C471674"/>
    <w:rsid w:val="3C566A63"/>
    <w:rsid w:val="3C6A1807"/>
    <w:rsid w:val="3C6D280A"/>
    <w:rsid w:val="3C7416C8"/>
    <w:rsid w:val="3C8404D0"/>
    <w:rsid w:val="3C8D65FD"/>
    <w:rsid w:val="3C942C25"/>
    <w:rsid w:val="3C9529DA"/>
    <w:rsid w:val="3C9612A8"/>
    <w:rsid w:val="3C9613A5"/>
    <w:rsid w:val="3C971C7D"/>
    <w:rsid w:val="3CA24A0B"/>
    <w:rsid w:val="3CAB7C04"/>
    <w:rsid w:val="3CAF43B3"/>
    <w:rsid w:val="3CB52913"/>
    <w:rsid w:val="3CBC644A"/>
    <w:rsid w:val="3CBD5544"/>
    <w:rsid w:val="3CE016B9"/>
    <w:rsid w:val="3CED3931"/>
    <w:rsid w:val="3CF338E8"/>
    <w:rsid w:val="3D220951"/>
    <w:rsid w:val="3D2B2531"/>
    <w:rsid w:val="3D2F1FBF"/>
    <w:rsid w:val="3D3A477B"/>
    <w:rsid w:val="3D4B791C"/>
    <w:rsid w:val="3D587696"/>
    <w:rsid w:val="3D5B3A41"/>
    <w:rsid w:val="3D5C1BE9"/>
    <w:rsid w:val="3D62269E"/>
    <w:rsid w:val="3D6453D9"/>
    <w:rsid w:val="3D87621C"/>
    <w:rsid w:val="3D8830F9"/>
    <w:rsid w:val="3D893516"/>
    <w:rsid w:val="3D8A59BA"/>
    <w:rsid w:val="3DA25C7D"/>
    <w:rsid w:val="3DB506DA"/>
    <w:rsid w:val="3DD81E15"/>
    <w:rsid w:val="3DD913FE"/>
    <w:rsid w:val="3DF1265E"/>
    <w:rsid w:val="3E121667"/>
    <w:rsid w:val="3E1B10C6"/>
    <w:rsid w:val="3E240BE8"/>
    <w:rsid w:val="3E36623C"/>
    <w:rsid w:val="3E3A3C0C"/>
    <w:rsid w:val="3E5F5650"/>
    <w:rsid w:val="3E7E3034"/>
    <w:rsid w:val="3E892171"/>
    <w:rsid w:val="3E8A368E"/>
    <w:rsid w:val="3E8B3F52"/>
    <w:rsid w:val="3E9765E5"/>
    <w:rsid w:val="3E994BC3"/>
    <w:rsid w:val="3EA334D6"/>
    <w:rsid w:val="3EA96F14"/>
    <w:rsid w:val="3EBC75D5"/>
    <w:rsid w:val="3ECD751D"/>
    <w:rsid w:val="3EDF34EF"/>
    <w:rsid w:val="3EE86D58"/>
    <w:rsid w:val="3EED74F9"/>
    <w:rsid w:val="3EFA0B69"/>
    <w:rsid w:val="3F023FED"/>
    <w:rsid w:val="3F155ADE"/>
    <w:rsid w:val="3F1D1F57"/>
    <w:rsid w:val="3F253EC4"/>
    <w:rsid w:val="3F343D20"/>
    <w:rsid w:val="3F453DF2"/>
    <w:rsid w:val="3F6053AA"/>
    <w:rsid w:val="3F6C70D4"/>
    <w:rsid w:val="3F7071BD"/>
    <w:rsid w:val="3F84790A"/>
    <w:rsid w:val="3F882535"/>
    <w:rsid w:val="3F9D321D"/>
    <w:rsid w:val="3FA047AF"/>
    <w:rsid w:val="3FB42489"/>
    <w:rsid w:val="3FB84753"/>
    <w:rsid w:val="3FBC47AE"/>
    <w:rsid w:val="3FBD334B"/>
    <w:rsid w:val="3FC10FEE"/>
    <w:rsid w:val="3FF30D93"/>
    <w:rsid w:val="3FF542C3"/>
    <w:rsid w:val="4014659E"/>
    <w:rsid w:val="40151B67"/>
    <w:rsid w:val="40181C66"/>
    <w:rsid w:val="401936D5"/>
    <w:rsid w:val="401D444B"/>
    <w:rsid w:val="40217BD6"/>
    <w:rsid w:val="402A34C2"/>
    <w:rsid w:val="402C7E90"/>
    <w:rsid w:val="403D6B82"/>
    <w:rsid w:val="40494BE7"/>
    <w:rsid w:val="40571662"/>
    <w:rsid w:val="4067514D"/>
    <w:rsid w:val="4075271A"/>
    <w:rsid w:val="407C7A01"/>
    <w:rsid w:val="40802EDC"/>
    <w:rsid w:val="40884CD7"/>
    <w:rsid w:val="408E447E"/>
    <w:rsid w:val="409A7A81"/>
    <w:rsid w:val="409E6181"/>
    <w:rsid w:val="40A21A83"/>
    <w:rsid w:val="40AD758D"/>
    <w:rsid w:val="40B06869"/>
    <w:rsid w:val="40BB487A"/>
    <w:rsid w:val="40C43A33"/>
    <w:rsid w:val="40CD33B6"/>
    <w:rsid w:val="40E44890"/>
    <w:rsid w:val="40EA5840"/>
    <w:rsid w:val="41046E90"/>
    <w:rsid w:val="41243BDC"/>
    <w:rsid w:val="412A59D3"/>
    <w:rsid w:val="412B1082"/>
    <w:rsid w:val="412D61D3"/>
    <w:rsid w:val="41720C65"/>
    <w:rsid w:val="4176141D"/>
    <w:rsid w:val="4187621A"/>
    <w:rsid w:val="41937DA4"/>
    <w:rsid w:val="41A665E5"/>
    <w:rsid w:val="41A920A6"/>
    <w:rsid w:val="41C573D8"/>
    <w:rsid w:val="41D96B7D"/>
    <w:rsid w:val="41E250B4"/>
    <w:rsid w:val="41FA574D"/>
    <w:rsid w:val="41FE6175"/>
    <w:rsid w:val="42073B9E"/>
    <w:rsid w:val="4217485F"/>
    <w:rsid w:val="42256EFD"/>
    <w:rsid w:val="422D7E29"/>
    <w:rsid w:val="42324430"/>
    <w:rsid w:val="423C54DB"/>
    <w:rsid w:val="424833B9"/>
    <w:rsid w:val="425106BE"/>
    <w:rsid w:val="42640BB0"/>
    <w:rsid w:val="426C0A19"/>
    <w:rsid w:val="426F5E8E"/>
    <w:rsid w:val="42724B1B"/>
    <w:rsid w:val="42874E12"/>
    <w:rsid w:val="428F0A60"/>
    <w:rsid w:val="429261FB"/>
    <w:rsid w:val="429F509A"/>
    <w:rsid w:val="42C145F1"/>
    <w:rsid w:val="42C26BBC"/>
    <w:rsid w:val="42C94E05"/>
    <w:rsid w:val="42DC293D"/>
    <w:rsid w:val="42EB0733"/>
    <w:rsid w:val="42F7604B"/>
    <w:rsid w:val="430B5095"/>
    <w:rsid w:val="4311261C"/>
    <w:rsid w:val="43194492"/>
    <w:rsid w:val="43292009"/>
    <w:rsid w:val="432E117F"/>
    <w:rsid w:val="43406396"/>
    <w:rsid w:val="43551492"/>
    <w:rsid w:val="435C18D2"/>
    <w:rsid w:val="43624BC9"/>
    <w:rsid w:val="436333A8"/>
    <w:rsid w:val="4363780D"/>
    <w:rsid w:val="436519CA"/>
    <w:rsid w:val="437373DE"/>
    <w:rsid w:val="437912AA"/>
    <w:rsid w:val="437C1C45"/>
    <w:rsid w:val="438165EF"/>
    <w:rsid w:val="43882E73"/>
    <w:rsid w:val="43961951"/>
    <w:rsid w:val="439B6ED8"/>
    <w:rsid w:val="43A536A8"/>
    <w:rsid w:val="43B1146F"/>
    <w:rsid w:val="43D76B91"/>
    <w:rsid w:val="43E15247"/>
    <w:rsid w:val="43E34257"/>
    <w:rsid w:val="43ED7ADB"/>
    <w:rsid w:val="43F875D8"/>
    <w:rsid w:val="44132987"/>
    <w:rsid w:val="44195532"/>
    <w:rsid w:val="441C4C9D"/>
    <w:rsid w:val="442926C3"/>
    <w:rsid w:val="442C0542"/>
    <w:rsid w:val="445269E0"/>
    <w:rsid w:val="445301C2"/>
    <w:rsid w:val="445B6427"/>
    <w:rsid w:val="446E02D5"/>
    <w:rsid w:val="447E0ED0"/>
    <w:rsid w:val="4482562C"/>
    <w:rsid w:val="448D4E91"/>
    <w:rsid w:val="449E1F83"/>
    <w:rsid w:val="44A53927"/>
    <w:rsid w:val="44B16C38"/>
    <w:rsid w:val="44BD6F7F"/>
    <w:rsid w:val="44C17AF5"/>
    <w:rsid w:val="44C63C5D"/>
    <w:rsid w:val="44C97FE5"/>
    <w:rsid w:val="44D40105"/>
    <w:rsid w:val="44D51DFD"/>
    <w:rsid w:val="44DB0490"/>
    <w:rsid w:val="44DD12F7"/>
    <w:rsid w:val="44DE4D0B"/>
    <w:rsid w:val="44E91ABE"/>
    <w:rsid w:val="44F534B1"/>
    <w:rsid w:val="45073F6A"/>
    <w:rsid w:val="451E26BD"/>
    <w:rsid w:val="451E3758"/>
    <w:rsid w:val="451F2A4C"/>
    <w:rsid w:val="45235151"/>
    <w:rsid w:val="453D4AA6"/>
    <w:rsid w:val="453D76A4"/>
    <w:rsid w:val="454E0A05"/>
    <w:rsid w:val="45655D0E"/>
    <w:rsid w:val="456B399C"/>
    <w:rsid w:val="45713B92"/>
    <w:rsid w:val="45756CE8"/>
    <w:rsid w:val="457E3D41"/>
    <w:rsid w:val="458803FC"/>
    <w:rsid w:val="458A1E86"/>
    <w:rsid w:val="45912A8F"/>
    <w:rsid w:val="45AD521D"/>
    <w:rsid w:val="45C81A78"/>
    <w:rsid w:val="45DE54AD"/>
    <w:rsid w:val="45F5478A"/>
    <w:rsid w:val="45F7689A"/>
    <w:rsid w:val="45FA5D4C"/>
    <w:rsid w:val="4602282B"/>
    <w:rsid w:val="46087677"/>
    <w:rsid w:val="460A10A7"/>
    <w:rsid w:val="460B4320"/>
    <w:rsid w:val="461D1F29"/>
    <w:rsid w:val="461E21E2"/>
    <w:rsid w:val="461F4E2D"/>
    <w:rsid w:val="46331C13"/>
    <w:rsid w:val="463C5F64"/>
    <w:rsid w:val="464A3448"/>
    <w:rsid w:val="46591F3F"/>
    <w:rsid w:val="466058BA"/>
    <w:rsid w:val="46627B54"/>
    <w:rsid w:val="466E1367"/>
    <w:rsid w:val="46701285"/>
    <w:rsid w:val="467C25E8"/>
    <w:rsid w:val="468C736C"/>
    <w:rsid w:val="4690587C"/>
    <w:rsid w:val="469B0A44"/>
    <w:rsid w:val="46BD59CE"/>
    <w:rsid w:val="46CE72CE"/>
    <w:rsid w:val="46CF02CB"/>
    <w:rsid w:val="46D05E7A"/>
    <w:rsid w:val="46DD7E93"/>
    <w:rsid w:val="46FE4677"/>
    <w:rsid w:val="47017D19"/>
    <w:rsid w:val="47066A6F"/>
    <w:rsid w:val="47164D3A"/>
    <w:rsid w:val="47320BC0"/>
    <w:rsid w:val="4736763A"/>
    <w:rsid w:val="47387E69"/>
    <w:rsid w:val="473B0E03"/>
    <w:rsid w:val="473B2B1C"/>
    <w:rsid w:val="4756694F"/>
    <w:rsid w:val="476F5C4A"/>
    <w:rsid w:val="47743C70"/>
    <w:rsid w:val="477E504D"/>
    <w:rsid w:val="4780066F"/>
    <w:rsid w:val="479906D6"/>
    <w:rsid w:val="47AD1EB4"/>
    <w:rsid w:val="47C27AED"/>
    <w:rsid w:val="47C33388"/>
    <w:rsid w:val="47C51F5F"/>
    <w:rsid w:val="47C8071C"/>
    <w:rsid w:val="47CA0C61"/>
    <w:rsid w:val="47CA339F"/>
    <w:rsid w:val="48207A0B"/>
    <w:rsid w:val="484616A6"/>
    <w:rsid w:val="484E22DB"/>
    <w:rsid w:val="485613FF"/>
    <w:rsid w:val="48600B1F"/>
    <w:rsid w:val="486601BB"/>
    <w:rsid w:val="486F05B7"/>
    <w:rsid w:val="48723906"/>
    <w:rsid w:val="487954CA"/>
    <w:rsid w:val="4897337B"/>
    <w:rsid w:val="489F4A0D"/>
    <w:rsid w:val="48A312F2"/>
    <w:rsid w:val="48B15BE8"/>
    <w:rsid w:val="48BB4B6D"/>
    <w:rsid w:val="48BB712D"/>
    <w:rsid w:val="48C87072"/>
    <w:rsid w:val="48D307B2"/>
    <w:rsid w:val="48D35C36"/>
    <w:rsid w:val="48DA03C6"/>
    <w:rsid w:val="48E3511D"/>
    <w:rsid w:val="49000EBE"/>
    <w:rsid w:val="491A0C42"/>
    <w:rsid w:val="491B5870"/>
    <w:rsid w:val="491E1C94"/>
    <w:rsid w:val="493A4690"/>
    <w:rsid w:val="49401744"/>
    <w:rsid w:val="4943270A"/>
    <w:rsid w:val="49514007"/>
    <w:rsid w:val="49587D9C"/>
    <w:rsid w:val="495E42FD"/>
    <w:rsid w:val="49655F0C"/>
    <w:rsid w:val="496F078B"/>
    <w:rsid w:val="49723D57"/>
    <w:rsid w:val="497F1D17"/>
    <w:rsid w:val="498476BE"/>
    <w:rsid w:val="499936AB"/>
    <w:rsid w:val="49D55CCF"/>
    <w:rsid w:val="49DC4CAD"/>
    <w:rsid w:val="49E40D44"/>
    <w:rsid w:val="49F336CA"/>
    <w:rsid w:val="49FF2CC5"/>
    <w:rsid w:val="4A0339CD"/>
    <w:rsid w:val="4A072E8D"/>
    <w:rsid w:val="4A0A7B57"/>
    <w:rsid w:val="4A193A74"/>
    <w:rsid w:val="4A2C4E89"/>
    <w:rsid w:val="4A317101"/>
    <w:rsid w:val="4A363F78"/>
    <w:rsid w:val="4A633359"/>
    <w:rsid w:val="4A906886"/>
    <w:rsid w:val="4A987D64"/>
    <w:rsid w:val="4AAE28DC"/>
    <w:rsid w:val="4AAF31EF"/>
    <w:rsid w:val="4AB94497"/>
    <w:rsid w:val="4ABE0832"/>
    <w:rsid w:val="4AC1775F"/>
    <w:rsid w:val="4AC20850"/>
    <w:rsid w:val="4AC30E09"/>
    <w:rsid w:val="4AC7732E"/>
    <w:rsid w:val="4AD4798C"/>
    <w:rsid w:val="4AD60C4D"/>
    <w:rsid w:val="4B0616EA"/>
    <w:rsid w:val="4B3F5B3F"/>
    <w:rsid w:val="4B45620A"/>
    <w:rsid w:val="4B461A0C"/>
    <w:rsid w:val="4B4D4DA6"/>
    <w:rsid w:val="4B51724B"/>
    <w:rsid w:val="4B892420"/>
    <w:rsid w:val="4B97182F"/>
    <w:rsid w:val="4B9736E8"/>
    <w:rsid w:val="4B9C4BCD"/>
    <w:rsid w:val="4BAD2F6E"/>
    <w:rsid w:val="4BC126E9"/>
    <w:rsid w:val="4BC20837"/>
    <w:rsid w:val="4BC44332"/>
    <w:rsid w:val="4BD058F0"/>
    <w:rsid w:val="4BD54FF2"/>
    <w:rsid w:val="4BD80735"/>
    <w:rsid w:val="4BDD0251"/>
    <w:rsid w:val="4BEF68BF"/>
    <w:rsid w:val="4BF63F52"/>
    <w:rsid w:val="4C04507D"/>
    <w:rsid w:val="4C1B5577"/>
    <w:rsid w:val="4C1C735C"/>
    <w:rsid w:val="4C1D3723"/>
    <w:rsid w:val="4C202C09"/>
    <w:rsid w:val="4C283C48"/>
    <w:rsid w:val="4C2B6BEE"/>
    <w:rsid w:val="4C385C45"/>
    <w:rsid w:val="4C4405CB"/>
    <w:rsid w:val="4C4E067D"/>
    <w:rsid w:val="4C530F88"/>
    <w:rsid w:val="4C666EB1"/>
    <w:rsid w:val="4CA014DD"/>
    <w:rsid w:val="4CAB0E64"/>
    <w:rsid w:val="4CCA62BA"/>
    <w:rsid w:val="4CCD151E"/>
    <w:rsid w:val="4CD34B4D"/>
    <w:rsid w:val="4CD832E9"/>
    <w:rsid w:val="4CE0243B"/>
    <w:rsid w:val="4CE348C9"/>
    <w:rsid w:val="4CEA3010"/>
    <w:rsid w:val="4CFB69D2"/>
    <w:rsid w:val="4CFD55A0"/>
    <w:rsid w:val="4D023AFF"/>
    <w:rsid w:val="4D0819EE"/>
    <w:rsid w:val="4D244C9E"/>
    <w:rsid w:val="4D2B010A"/>
    <w:rsid w:val="4D2F2BCF"/>
    <w:rsid w:val="4D427EE4"/>
    <w:rsid w:val="4D457525"/>
    <w:rsid w:val="4D485A22"/>
    <w:rsid w:val="4D595098"/>
    <w:rsid w:val="4D5C2B67"/>
    <w:rsid w:val="4D5D6436"/>
    <w:rsid w:val="4D9B2329"/>
    <w:rsid w:val="4DAE3E0D"/>
    <w:rsid w:val="4DC52CEE"/>
    <w:rsid w:val="4DD34FBD"/>
    <w:rsid w:val="4DE02CB0"/>
    <w:rsid w:val="4DE61E8E"/>
    <w:rsid w:val="4DEB5B5A"/>
    <w:rsid w:val="4E09608C"/>
    <w:rsid w:val="4E0F11C6"/>
    <w:rsid w:val="4E375A3A"/>
    <w:rsid w:val="4E3A4BED"/>
    <w:rsid w:val="4E4032C3"/>
    <w:rsid w:val="4E4F19D5"/>
    <w:rsid w:val="4E536AA5"/>
    <w:rsid w:val="4E6F252E"/>
    <w:rsid w:val="4E840A0B"/>
    <w:rsid w:val="4E9C548B"/>
    <w:rsid w:val="4EB900B0"/>
    <w:rsid w:val="4ED133CD"/>
    <w:rsid w:val="4ED90E2B"/>
    <w:rsid w:val="4EE2126B"/>
    <w:rsid w:val="4EF155A6"/>
    <w:rsid w:val="4EFD22C8"/>
    <w:rsid w:val="4F0B785E"/>
    <w:rsid w:val="4F1147CC"/>
    <w:rsid w:val="4F2A15F7"/>
    <w:rsid w:val="4F3477E6"/>
    <w:rsid w:val="4F406BB0"/>
    <w:rsid w:val="4F5A2A28"/>
    <w:rsid w:val="4F9E6EC1"/>
    <w:rsid w:val="4FAD4D15"/>
    <w:rsid w:val="4FB559BB"/>
    <w:rsid w:val="4FBE0C10"/>
    <w:rsid w:val="4FCE50DE"/>
    <w:rsid w:val="4FEA7B46"/>
    <w:rsid w:val="4FEF286F"/>
    <w:rsid w:val="50003C98"/>
    <w:rsid w:val="503272FA"/>
    <w:rsid w:val="503409B9"/>
    <w:rsid w:val="504C09A8"/>
    <w:rsid w:val="50501FD3"/>
    <w:rsid w:val="50610930"/>
    <w:rsid w:val="508220D7"/>
    <w:rsid w:val="50884BF1"/>
    <w:rsid w:val="50936781"/>
    <w:rsid w:val="50994B46"/>
    <w:rsid w:val="509B3B1F"/>
    <w:rsid w:val="509F7D2A"/>
    <w:rsid w:val="50A43DA0"/>
    <w:rsid w:val="50A50C39"/>
    <w:rsid w:val="50B01C24"/>
    <w:rsid w:val="50B23989"/>
    <w:rsid w:val="50B32F0C"/>
    <w:rsid w:val="50D353F1"/>
    <w:rsid w:val="50DB1CA1"/>
    <w:rsid w:val="5104743C"/>
    <w:rsid w:val="511A4350"/>
    <w:rsid w:val="51296AB1"/>
    <w:rsid w:val="513017C6"/>
    <w:rsid w:val="514013F2"/>
    <w:rsid w:val="514802B0"/>
    <w:rsid w:val="5154030A"/>
    <w:rsid w:val="515A5559"/>
    <w:rsid w:val="51615E09"/>
    <w:rsid w:val="51693B88"/>
    <w:rsid w:val="516D27D4"/>
    <w:rsid w:val="51754529"/>
    <w:rsid w:val="51B679CB"/>
    <w:rsid w:val="51BC09E5"/>
    <w:rsid w:val="51C35DDB"/>
    <w:rsid w:val="51C73ECB"/>
    <w:rsid w:val="51CB12D6"/>
    <w:rsid w:val="51F24A24"/>
    <w:rsid w:val="51FC17B6"/>
    <w:rsid w:val="52141B37"/>
    <w:rsid w:val="521C18CD"/>
    <w:rsid w:val="524007F6"/>
    <w:rsid w:val="52497799"/>
    <w:rsid w:val="524F12E3"/>
    <w:rsid w:val="5250782E"/>
    <w:rsid w:val="52575646"/>
    <w:rsid w:val="527B6194"/>
    <w:rsid w:val="528769B0"/>
    <w:rsid w:val="52973DAE"/>
    <w:rsid w:val="529F4156"/>
    <w:rsid w:val="52A43D98"/>
    <w:rsid w:val="52AE2311"/>
    <w:rsid w:val="52B23FEB"/>
    <w:rsid w:val="52B5710C"/>
    <w:rsid w:val="52C0788A"/>
    <w:rsid w:val="52C4063F"/>
    <w:rsid w:val="52C64B82"/>
    <w:rsid w:val="52CF55BE"/>
    <w:rsid w:val="52E85DDF"/>
    <w:rsid w:val="52EE63E3"/>
    <w:rsid w:val="52EF77E3"/>
    <w:rsid w:val="52F335C1"/>
    <w:rsid w:val="52F92456"/>
    <w:rsid w:val="530822B0"/>
    <w:rsid w:val="532F094B"/>
    <w:rsid w:val="53396BF8"/>
    <w:rsid w:val="534702C4"/>
    <w:rsid w:val="534B2059"/>
    <w:rsid w:val="534E2B89"/>
    <w:rsid w:val="534E2CF8"/>
    <w:rsid w:val="53755C6B"/>
    <w:rsid w:val="537E4FF4"/>
    <w:rsid w:val="53892CCE"/>
    <w:rsid w:val="53914085"/>
    <w:rsid w:val="53AD2569"/>
    <w:rsid w:val="53B943B1"/>
    <w:rsid w:val="53BA17C4"/>
    <w:rsid w:val="53CF2AD9"/>
    <w:rsid w:val="53D210E6"/>
    <w:rsid w:val="53D42F76"/>
    <w:rsid w:val="53D61780"/>
    <w:rsid w:val="53E543C3"/>
    <w:rsid w:val="53EC479E"/>
    <w:rsid w:val="54181152"/>
    <w:rsid w:val="541A1534"/>
    <w:rsid w:val="541D3683"/>
    <w:rsid w:val="54310174"/>
    <w:rsid w:val="543C7961"/>
    <w:rsid w:val="545663DC"/>
    <w:rsid w:val="5465155E"/>
    <w:rsid w:val="547A3903"/>
    <w:rsid w:val="54806941"/>
    <w:rsid w:val="5496760F"/>
    <w:rsid w:val="54AE760C"/>
    <w:rsid w:val="54C756AC"/>
    <w:rsid w:val="54CE2724"/>
    <w:rsid w:val="54EE7736"/>
    <w:rsid w:val="54FE6AF2"/>
    <w:rsid w:val="55155CDC"/>
    <w:rsid w:val="551764A6"/>
    <w:rsid w:val="55184E76"/>
    <w:rsid w:val="55242E26"/>
    <w:rsid w:val="5530308F"/>
    <w:rsid w:val="5553037F"/>
    <w:rsid w:val="555F4F4E"/>
    <w:rsid w:val="55632CFE"/>
    <w:rsid w:val="557A1FB0"/>
    <w:rsid w:val="55882C24"/>
    <w:rsid w:val="558B2072"/>
    <w:rsid w:val="55ED0C21"/>
    <w:rsid w:val="55EF1EB0"/>
    <w:rsid w:val="55F0479F"/>
    <w:rsid w:val="56041364"/>
    <w:rsid w:val="562E17E6"/>
    <w:rsid w:val="562E6E29"/>
    <w:rsid w:val="56330E31"/>
    <w:rsid w:val="56412A75"/>
    <w:rsid w:val="5648361D"/>
    <w:rsid w:val="565A4305"/>
    <w:rsid w:val="56684412"/>
    <w:rsid w:val="56923600"/>
    <w:rsid w:val="56A31E2F"/>
    <w:rsid w:val="56AD32FB"/>
    <w:rsid w:val="56B7299C"/>
    <w:rsid w:val="56C4142C"/>
    <w:rsid w:val="56C7665B"/>
    <w:rsid w:val="56DC47FA"/>
    <w:rsid w:val="57035E96"/>
    <w:rsid w:val="570C3544"/>
    <w:rsid w:val="570D5AD9"/>
    <w:rsid w:val="5733635F"/>
    <w:rsid w:val="573C065C"/>
    <w:rsid w:val="573E57E1"/>
    <w:rsid w:val="575534A1"/>
    <w:rsid w:val="57600E78"/>
    <w:rsid w:val="57661C59"/>
    <w:rsid w:val="57726509"/>
    <w:rsid w:val="57770500"/>
    <w:rsid w:val="578C5239"/>
    <w:rsid w:val="579D5FBB"/>
    <w:rsid w:val="57A95695"/>
    <w:rsid w:val="57B14D95"/>
    <w:rsid w:val="57B92284"/>
    <w:rsid w:val="57CE0B44"/>
    <w:rsid w:val="57DA5856"/>
    <w:rsid w:val="57DC020B"/>
    <w:rsid w:val="57E47404"/>
    <w:rsid w:val="57EA14C3"/>
    <w:rsid w:val="57FC2AAE"/>
    <w:rsid w:val="580F06FB"/>
    <w:rsid w:val="58111F98"/>
    <w:rsid w:val="58161788"/>
    <w:rsid w:val="582C266D"/>
    <w:rsid w:val="58327D18"/>
    <w:rsid w:val="58403D27"/>
    <w:rsid w:val="584469DF"/>
    <w:rsid w:val="584A1002"/>
    <w:rsid w:val="58586FA9"/>
    <w:rsid w:val="585F3470"/>
    <w:rsid w:val="585F420A"/>
    <w:rsid w:val="5860041B"/>
    <w:rsid w:val="58646C78"/>
    <w:rsid w:val="587335D6"/>
    <w:rsid w:val="587A4B4C"/>
    <w:rsid w:val="588B21AB"/>
    <w:rsid w:val="58AA1522"/>
    <w:rsid w:val="58B35E25"/>
    <w:rsid w:val="58C270B9"/>
    <w:rsid w:val="58C906EF"/>
    <w:rsid w:val="58CA7B29"/>
    <w:rsid w:val="58CF2C24"/>
    <w:rsid w:val="58D81061"/>
    <w:rsid w:val="58E005D9"/>
    <w:rsid w:val="58E45997"/>
    <w:rsid w:val="58EB2197"/>
    <w:rsid w:val="58F02C09"/>
    <w:rsid w:val="58F107FD"/>
    <w:rsid w:val="58F934CB"/>
    <w:rsid w:val="59016286"/>
    <w:rsid w:val="591169BF"/>
    <w:rsid w:val="5912538A"/>
    <w:rsid w:val="591C7462"/>
    <w:rsid w:val="592C2280"/>
    <w:rsid w:val="59402468"/>
    <w:rsid w:val="59412272"/>
    <w:rsid w:val="59450CA1"/>
    <w:rsid w:val="59594D0B"/>
    <w:rsid w:val="597616D1"/>
    <w:rsid w:val="597A4AA9"/>
    <w:rsid w:val="5986659F"/>
    <w:rsid w:val="598A4E1E"/>
    <w:rsid w:val="598B195D"/>
    <w:rsid w:val="59940B7A"/>
    <w:rsid w:val="59A03CB0"/>
    <w:rsid w:val="59A44E4E"/>
    <w:rsid w:val="59A97DAF"/>
    <w:rsid w:val="59B13636"/>
    <w:rsid w:val="59B63E59"/>
    <w:rsid w:val="59C32A26"/>
    <w:rsid w:val="59C9653E"/>
    <w:rsid w:val="59D02536"/>
    <w:rsid w:val="59D115D3"/>
    <w:rsid w:val="59DA2659"/>
    <w:rsid w:val="59DB36ED"/>
    <w:rsid w:val="59E54128"/>
    <w:rsid w:val="59EB414D"/>
    <w:rsid w:val="59F20424"/>
    <w:rsid w:val="59FA680D"/>
    <w:rsid w:val="5A053682"/>
    <w:rsid w:val="5A083777"/>
    <w:rsid w:val="5A0D15CF"/>
    <w:rsid w:val="5A133E83"/>
    <w:rsid w:val="5A1C5585"/>
    <w:rsid w:val="5A1D5978"/>
    <w:rsid w:val="5A1E66C7"/>
    <w:rsid w:val="5A2949D2"/>
    <w:rsid w:val="5A2E0166"/>
    <w:rsid w:val="5A34403A"/>
    <w:rsid w:val="5A573DA4"/>
    <w:rsid w:val="5A746052"/>
    <w:rsid w:val="5A7C2A0C"/>
    <w:rsid w:val="5A7E20BB"/>
    <w:rsid w:val="5AA43594"/>
    <w:rsid w:val="5AAF273B"/>
    <w:rsid w:val="5AAF5BAD"/>
    <w:rsid w:val="5AB02916"/>
    <w:rsid w:val="5ABD4FF4"/>
    <w:rsid w:val="5ACE5B88"/>
    <w:rsid w:val="5AD35095"/>
    <w:rsid w:val="5AD80274"/>
    <w:rsid w:val="5ADC56D0"/>
    <w:rsid w:val="5AE72589"/>
    <w:rsid w:val="5B0A41F5"/>
    <w:rsid w:val="5B0E6C29"/>
    <w:rsid w:val="5B1A11F7"/>
    <w:rsid w:val="5B252F05"/>
    <w:rsid w:val="5B335188"/>
    <w:rsid w:val="5B4349A2"/>
    <w:rsid w:val="5B480385"/>
    <w:rsid w:val="5B5B6E0F"/>
    <w:rsid w:val="5B5D2424"/>
    <w:rsid w:val="5B5D720D"/>
    <w:rsid w:val="5B6E2B79"/>
    <w:rsid w:val="5B7325FC"/>
    <w:rsid w:val="5B784B0B"/>
    <w:rsid w:val="5B7B4545"/>
    <w:rsid w:val="5B9167B8"/>
    <w:rsid w:val="5B984A57"/>
    <w:rsid w:val="5B9F42FE"/>
    <w:rsid w:val="5BA416B8"/>
    <w:rsid w:val="5BA800BD"/>
    <w:rsid w:val="5BA859B0"/>
    <w:rsid w:val="5BB3504C"/>
    <w:rsid w:val="5BC06793"/>
    <w:rsid w:val="5BE328CB"/>
    <w:rsid w:val="5BE40E55"/>
    <w:rsid w:val="5BFC6B64"/>
    <w:rsid w:val="5C090343"/>
    <w:rsid w:val="5C0B0C34"/>
    <w:rsid w:val="5C322379"/>
    <w:rsid w:val="5C32567B"/>
    <w:rsid w:val="5C331620"/>
    <w:rsid w:val="5C5C636A"/>
    <w:rsid w:val="5C6B0D72"/>
    <w:rsid w:val="5C7142E9"/>
    <w:rsid w:val="5C77475A"/>
    <w:rsid w:val="5C7A1AEB"/>
    <w:rsid w:val="5C873BD8"/>
    <w:rsid w:val="5C892137"/>
    <w:rsid w:val="5C895306"/>
    <w:rsid w:val="5C9A2494"/>
    <w:rsid w:val="5CA076AF"/>
    <w:rsid w:val="5CC743A4"/>
    <w:rsid w:val="5CD527E8"/>
    <w:rsid w:val="5CF045D3"/>
    <w:rsid w:val="5CFE7EF4"/>
    <w:rsid w:val="5D0B04FD"/>
    <w:rsid w:val="5D104004"/>
    <w:rsid w:val="5D141051"/>
    <w:rsid w:val="5D145221"/>
    <w:rsid w:val="5D3F177E"/>
    <w:rsid w:val="5D4F16F8"/>
    <w:rsid w:val="5D524FA7"/>
    <w:rsid w:val="5D546031"/>
    <w:rsid w:val="5D611022"/>
    <w:rsid w:val="5D645765"/>
    <w:rsid w:val="5D6D0EE6"/>
    <w:rsid w:val="5D756E29"/>
    <w:rsid w:val="5D7C79F3"/>
    <w:rsid w:val="5D8406DA"/>
    <w:rsid w:val="5D8656A0"/>
    <w:rsid w:val="5D8A1183"/>
    <w:rsid w:val="5DA868CF"/>
    <w:rsid w:val="5DC76044"/>
    <w:rsid w:val="5DD91760"/>
    <w:rsid w:val="5DE325FB"/>
    <w:rsid w:val="5DE71A31"/>
    <w:rsid w:val="5DEE09B2"/>
    <w:rsid w:val="5DF4173A"/>
    <w:rsid w:val="5E0B489E"/>
    <w:rsid w:val="5E1058B4"/>
    <w:rsid w:val="5E401A71"/>
    <w:rsid w:val="5E4260C5"/>
    <w:rsid w:val="5E545BAF"/>
    <w:rsid w:val="5E553DE4"/>
    <w:rsid w:val="5E57401B"/>
    <w:rsid w:val="5E6F3A53"/>
    <w:rsid w:val="5E7600D6"/>
    <w:rsid w:val="5E76604F"/>
    <w:rsid w:val="5E926F79"/>
    <w:rsid w:val="5E9B6FD9"/>
    <w:rsid w:val="5EA32915"/>
    <w:rsid w:val="5EAD10D6"/>
    <w:rsid w:val="5EB711EF"/>
    <w:rsid w:val="5EDF2DD5"/>
    <w:rsid w:val="5EFE4359"/>
    <w:rsid w:val="5F0C65C5"/>
    <w:rsid w:val="5F133EE1"/>
    <w:rsid w:val="5F137DEE"/>
    <w:rsid w:val="5F24114D"/>
    <w:rsid w:val="5F357740"/>
    <w:rsid w:val="5F420ACD"/>
    <w:rsid w:val="5F4561F6"/>
    <w:rsid w:val="5F491A5C"/>
    <w:rsid w:val="5F4A7EF0"/>
    <w:rsid w:val="5F4B0074"/>
    <w:rsid w:val="5F4E1730"/>
    <w:rsid w:val="5F5209B8"/>
    <w:rsid w:val="5F5E43EA"/>
    <w:rsid w:val="5F7B429A"/>
    <w:rsid w:val="5F7D5ED5"/>
    <w:rsid w:val="5F8B3290"/>
    <w:rsid w:val="5FA029EA"/>
    <w:rsid w:val="5FA75838"/>
    <w:rsid w:val="5FB51982"/>
    <w:rsid w:val="5FBB365C"/>
    <w:rsid w:val="5FC329A6"/>
    <w:rsid w:val="5FD22D6E"/>
    <w:rsid w:val="5FD40093"/>
    <w:rsid w:val="5FD52A0F"/>
    <w:rsid w:val="5FD73321"/>
    <w:rsid w:val="5FD748CC"/>
    <w:rsid w:val="5FE21FD5"/>
    <w:rsid w:val="5FEE2B28"/>
    <w:rsid w:val="5FF43F23"/>
    <w:rsid w:val="5FF7761A"/>
    <w:rsid w:val="5FFB2EF7"/>
    <w:rsid w:val="600D629C"/>
    <w:rsid w:val="603F4C4C"/>
    <w:rsid w:val="60441C22"/>
    <w:rsid w:val="60451E64"/>
    <w:rsid w:val="60452ECA"/>
    <w:rsid w:val="604F303A"/>
    <w:rsid w:val="60510E9F"/>
    <w:rsid w:val="60533485"/>
    <w:rsid w:val="60671012"/>
    <w:rsid w:val="606B6CA1"/>
    <w:rsid w:val="60722D3D"/>
    <w:rsid w:val="607406A0"/>
    <w:rsid w:val="6089268E"/>
    <w:rsid w:val="6094730E"/>
    <w:rsid w:val="60A70792"/>
    <w:rsid w:val="60B227D7"/>
    <w:rsid w:val="60B869BA"/>
    <w:rsid w:val="60B86FE4"/>
    <w:rsid w:val="60C41DAB"/>
    <w:rsid w:val="60EB339C"/>
    <w:rsid w:val="60EE6C37"/>
    <w:rsid w:val="60F7181A"/>
    <w:rsid w:val="610070CA"/>
    <w:rsid w:val="61036EB3"/>
    <w:rsid w:val="61050740"/>
    <w:rsid w:val="610B41D0"/>
    <w:rsid w:val="61173F6C"/>
    <w:rsid w:val="612972AC"/>
    <w:rsid w:val="612D1A30"/>
    <w:rsid w:val="612F39D7"/>
    <w:rsid w:val="612F73A7"/>
    <w:rsid w:val="61344B3A"/>
    <w:rsid w:val="615F0988"/>
    <w:rsid w:val="616D4E17"/>
    <w:rsid w:val="61706C8C"/>
    <w:rsid w:val="61752492"/>
    <w:rsid w:val="618232B7"/>
    <w:rsid w:val="618A3894"/>
    <w:rsid w:val="61944E1C"/>
    <w:rsid w:val="619471F2"/>
    <w:rsid w:val="61A60785"/>
    <w:rsid w:val="61B039F9"/>
    <w:rsid w:val="61B20A9C"/>
    <w:rsid w:val="61B42F98"/>
    <w:rsid w:val="61BB3BA8"/>
    <w:rsid w:val="61BC1CC0"/>
    <w:rsid w:val="61C65117"/>
    <w:rsid w:val="61D53A8C"/>
    <w:rsid w:val="61E81A7F"/>
    <w:rsid w:val="61F858A2"/>
    <w:rsid w:val="61FB5B35"/>
    <w:rsid w:val="61FC68F9"/>
    <w:rsid w:val="62035689"/>
    <w:rsid w:val="62094537"/>
    <w:rsid w:val="620B3DDC"/>
    <w:rsid w:val="622E30E4"/>
    <w:rsid w:val="624229D6"/>
    <w:rsid w:val="62447CB8"/>
    <w:rsid w:val="6247036E"/>
    <w:rsid w:val="6256060B"/>
    <w:rsid w:val="62623F8B"/>
    <w:rsid w:val="62825BEC"/>
    <w:rsid w:val="62884446"/>
    <w:rsid w:val="62963332"/>
    <w:rsid w:val="62BE454F"/>
    <w:rsid w:val="62C22BE7"/>
    <w:rsid w:val="62CB43DC"/>
    <w:rsid w:val="62CC3BB5"/>
    <w:rsid w:val="62CD57AB"/>
    <w:rsid w:val="62D27C4F"/>
    <w:rsid w:val="62D42FD8"/>
    <w:rsid w:val="62D861E0"/>
    <w:rsid w:val="62EC4019"/>
    <w:rsid w:val="6303572B"/>
    <w:rsid w:val="630B626F"/>
    <w:rsid w:val="63155A5A"/>
    <w:rsid w:val="63183E55"/>
    <w:rsid w:val="632E1891"/>
    <w:rsid w:val="632F21B8"/>
    <w:rsid w:val="633A394E"/>
    <w:rsid w:val="633D533E"/>
    <w:rsid w:val="6340206E"/>
    <w:rsid w:val="63416422"/>
    <w:rsid w:val="634F5BD7"/>
    <w:rsid w:val="63564BB4"/>
    <w:rsid w:val="635A051A"/>
    <w:rsid w:val="635B51F6"/>
    <w:rsid w:val="63906B48"/>
    <w:rsid w:val="63914ACC"/>
    <w:rsid w:val="63A4382A"/>
    <w:rsid w:val="63B95832"/>
    <w:rsid w:val="63DF4B26"/>
    <w:rsid w:val="63F05B4D"/>
    <w:rsid w:val="64040279"/>
    <w:rsid w:val="640460E2"/>
    <w:rsid w:val="641F2F7E"/>
    <w:rsid w:val="64245E88"/>
    <w:rsid w:val="64285713"/>
    <w:rsid w:val="643161E7"/>
    <w:rsid w:val="64437818"/>
    <w:rsid w:val="6464633A"/>
    <w:rsid w:val="647255D6"/>
    <w:rsid w:val="647B0AF2"/>
    <w:rsid w:val="64815F03"/>
    <w:rsid w:val="6487018F"/>
    <w:rsid w:val="648767DC"/>
    <w:rsid w:val="649D01D1"/>
    <w:rsid w:val="64AE494D"/>
    <w:rsid w:val="64D24FAF"/>
    <w:rsid w:val="64D61EEB"/>
    <w:rsid w:val="64DF6D4A"/>
    <w:rsid w:val="64E903EB"/>
    <w:rsid w:val="64F5536C"/>
    <w:rsid w:val="650C29A6"/>
    <w:rsid w:val="651A1DDF"/>
    <w:rsid w:val="65256FE2"/>
    <w:rsid w:val="654B4E21"/>
    <w:rsid w:val="654D69E9"/>
    <w:rsid w:val="657247D9"/>
    <w:rsid w:val="65803587"/>
    <w:rsid w:val="65853979"/>
    <w:rsid w:val="6594760F"/>
    <w:rsid w:val="65984883"/>
    <w:rsid w:val="65A05052"/>
    <w:rsid w:val="65B32EAF"/>
    <w:rsid w:val="65BD1A5E"/>
    <w:rsid w:val="65DC0D1E"/>
    <w:rsid w:val="65E22696"/>
    <w:rsid w:val="65F334FC"/>
    <w:rsid w:val="65F73FA3"/>
    <w:rsid w:val="65F76991"/>
    <w:rsid w:val="660B2428"/>
    <w:rsid w:val="66145928"/>
    <w:rsid w:val="66171872"/>
    <w:rsid w:val="661E2F1F"/>
    <w:rsid w:val="661E779B"/>
    <w:rsid w:val="661E7B15"/>
    <w:rsid w:val="66495E04"/>
    <w:rsid w:val="666408E5"/>
    <w:rsid w:val="666534EE"/>
    <w:rsid w:val="66730AF4"/>
    <w:rsid w:val="669C631E"/>
    <w:rsid w:val="669E2707"/>
    <w:rsid w:val="669F7E67"/>
    <w:rsid w:val="66A8073B"/>
    <w:rsid w:val="66B14EA5"/>
    <w:rsid w:val="66B65388"/>
    <w:rsid w:val="66B76FA0"/>
    <w:rsid w:val="66BA5F0C"/>
    <w:rsid w:val="66C7649B"/>
    <w:rsid w:val="66CF43C0"/>
    <w:rsid w:val="66D4119B"/>
    <w:rsid w:val="66D80EDC"/>
    <w:rsid w:val="66E03791"/>
    <w:rsid w:val="66E21D65"/>
    <w:rsid w:val="66EA1D63"/>
    <w:rsid w:val="66EC07C7"/>
    <w:rsid w:val="66F61375"/>
    <w:rsid w:val="67123B64"/>
    <w:rsid w:val="671C3F0A"/>
    <w:rsid w:val="67255923"/>
    <w:rsid w:val="6729584F"/>
    <w:rsid w:val="673A37F1"/>
    <w:rsid w:val="674A00E0"/>
    <w:rsid w:val="67521959"/>
    <w:rsid w:val="67564923"/>
    <w:rsid w:val="67575906"/>
    <w:rsid w:val="675D00B3"/>
    <w:rsid w:val="676679C4"/>
    <w:rsid w:val="67695A94"/>
    <w:rsid w:val="676E26D6"/>
    <w:rsid w:val="67735BA1"/>
    <w:rsid w:val="67811758"/>
    <w:rsid w:val="6786694D"/>
    <w:rsid w:val="6787057E"/>
    <w:rsid w:val="67883F08"/>
    <w:rsid w:val="67A62E9A"/>
    <w:rsid w:val="67B372F2"/>
    <w:rsid w:val="67B65D59"/>
    <w:rsid w:val="67BB0780"/>
    <w:rsid w:val="67CE5471"/>
    <w:rsid w:val="67D14F64"/>
    <w:rsid w:val="67E70D44"/>
    <w:rsid w:val="67EE6DCC"/>
    <w:rsid w:val="67FE379B"/>
    <w:rsid w:val="68017312"/>
    <w:rsid w:val="680F5774"/>
    <w:rsid w:val="68110A77"/>
    <w:rsid w:val="681807BC"/>
    <w:rsid w:val="682A2C66"/>
    <w:rsid w:val="683C05E1"/>
    <w:rsid w:val="68450CCA"/>
    <w:rsid w:val="684C1375"/>
    <w:rsid w:val="68663F80"/>
    <w:rsid w:val="686741AF"/>
    <w:rsid w:val="68676415"/>
    <w:rsid w:val="686D307D"/>
    <w:rsid w:val="6873392A"/>
    <w:rsid w:val="687920E8"/>
    <w:rsid w:val="689373A3"/>
    <w:rsid w:val="689C27E2"/>
    <w:rsid w:val="68C50907"/>
    <w:rsid w:val="68DC40AF"/>
    <w:rsid w:val="68ED3F77"/>
    <w:rsid w:val="68F105CE"/>
    <w:rsid w:val="68FC29E9"/>
    <w:rsid w:val="690C2094"/>
    <w:rsid w:val="690D1D63"/>
    <w:rsid w:val="692416B0"/>
    <w:rsid w:val="692D2203"/>
    <w:rsid w:val="692E66C9"/>
    <w:rsid w:val="693A4073"/>
    <w:rsid w:val="693B21C0"/>
    <w:rsid w:val="69444968"/>
    <w:rsid w:val="695A1E31"/>
    <w:rsid w:val="695F4844"/>
    <w:rsid w:val="69661546"/>
    <w:rsid w:val="698C6DAD"/>
    <w:rsid w:val="698D295F"/>
    <w:rsid w:val="698D3FB2"/>
    <w:rsid w:val="69942F46"/>
    <w:rsid w:val="6999564F"/>
    <w:rsid w:val="69B20979"/>
    <w:rsid w:val="69CE2B70"/>
    <w:rsid w:val="69D549D2"/>
    <w:rsid w:val="69DD0487"/>
    <w:rsid w:val="69E27540"/>
    <w:rsid w:val="69EB1294"/>
    <w:rsid w:val="69EF08EF"/>
    <w:rsid w:val="69F35B5E"/>
    <w:rsid w:val="69F70329"/>
    <w:rsid w:val="6A0C16B2"/>
    <w:rsid w:val="6A0D6EF8"/>
    <w:rsid w:val="6A142F87"/>
    <w:rsid w:val="6A205C5E"/>
    <w:rsid w:val="6A2418B3"/>
    <w:rsid w:val="6A2B5385"/>
    <w:rsid w:val="6A442476"/>
    <w:rsid w:val="6A537C4A"/>
    <w:rsid w:val="6A54255B"/>
    <w:rsid w:val="6A5458DA"/>
    <w:rsid w:val="6A5515DC"/>
    <w:rsid w:val="6A5D5B04"/>
    <w:rsid w:val="6A64000F"/>
    <w:rsid w:val="6A6C3926"/>
    <w:rsid w:val="6A720481"/>
    <w:rsid w:val="6A720D55"/>
    <w:rsid w:val="6A7F6208"/>
    <w:rsid w:val="6A8B4C3A"/>
    <w:rsid w:val="6A8E72BE"/>
    <w:rsid w:val="6A914D42"/>
    <w:rsid w:val="6AAE2B8B"/>
    <w:rsid w:val="6AD941E1"/>
    <w:rsid w:val="6AE7539D"/>
    <w:rsid w:val="6B002811"/>
    <w:rsid w:val="6B074A7B"/>
    <w:rsid w:val="6B08747F"/>
    <w:rsid w:val="6B1023A0"/>
    <w:rsid w:val="6B163F65"/>
    <w:rsid w:val="6B1A7AC5"/>
    <w:rsid w:val="6B1B18E2"/>
    <w:rsid w:val="6B211F41"/>
    <w:rsid w:val="6B346808"/>
    <w:rsid w:val="6B3F6EEF"/>
    <w:rsid w:val="6B426334"/>
    <w:rsid w:val="6B480C8B"/>
    <w:rsid w:val="6B68490C"/>
    <w:rsid w:val="6B6D392A"/>
    <w:rsid w:val="6B820562"/>
    <w:rsid w:val="6B961A47"/>
    <w:rsid w:val="6B985B1B"/>
    <w:rsid w:val="6BB33961"/>
    <w:rsid w:val="6BBF74E8"/>
    <w:rsid w:val="6BD303E3"/>
    <w:rsid w:val="6BD521E1"/>
    <w:rsid w:val="6BDB462C"/>
    <w:rsid w:val="6BF32CE6"/>
    <w:rsid w:val="6BF40044"/>
    <w:rsid w:val="6C1C6058"/>
    <w:rsid w:val="6C1D0F62"/>
    <w:rsid w:val="6C293594"/>
    <w:rsid w:val="6C404191"/>
    <w:rsid w:val="6C512BFD"/>
    <w:rsid w:val="6C5558AF"/>
    <w:rsid w:val="6C680081"/>
    <w:rsid w:val="6C693A53"/>
    <w:rsid w:val="6C840599"/>
    <w:rsid w:val="6C85387F"/>
    <w:rsid w:val="6C880C4A"/>
    <w:rsid w:val="6C8A7F3F"/>
    <w:rsid w:val="6C9F3A48"/>
    <w:rsid w:val="6CA621AD"/>
    <w:rsid w:val="6CA93451"/>
    <w:rsid w:val="6CAE5F57"/>
    <w:rsid w:val="6CB42D70"/>
    <w:rsid w:val="6D0211D9"/>
    <w:rsid w:val="6D0D72CC"/>
    <w:rsid w:val="6D205366"/>
    <w:rsid w:val="6D267748"/>
    <w:rsid w:val="6D2B08FE"/>
    <w:rsid w:val="6D30580A"/>
    <w:rsid w:val="6D3472D8"/>
    <w:rsid w:val="6D4E0DC0"/>
    <w:rsid w:val="6D4F7C78"/>
    <w:rsid w:val="6D590992"/>
    <w:rsid w:val="6D5D45D8"/>
    <w:rsid w:val="6D60292E"/>
    <w:rsid w:val="6D616F53"/>
    <w:rsid w:val="6D672D54"/>
    <w:rsid w:val="6D837BEB"/>
    <w:rsid w:val="6D930F00"/>
    <w:rsid w:val="6D9B79D5"/>
    <w:rsid w:val="6D9E2422"/>
    <w:rsid w:val="6DA21701"/>
    <w:rsid w:val="6DA86FE9"/>
    <w:rsid w:val="6DAB7A5C"/>
    <w:rsid w:val="6DD61030"/>
    <w:rsid w:val="6DDF00A5"/>
    <w:rsid w:val="6DE41507"/>
    <w:rsid w:val="6DF64FE0"/>
    <w:rsid w:val="6E112344"/>
    <w:rsid w:val="6E124D44"/>
    <w:rsid w:val="6E187FCE"/>
    <w:rsid w:val="6E236CD6"/>
    <w:rsid w:val="6E3A3690"/>
    <w:rsid w:val="6E492CB2"/>
    <w:rsid w:val="6E502660"/>
    <w:rsid w:val="6E521FC0"/>
    <w:rsid w:val="6E5426D4"/>
    <w:rsid w:val="6E601185"/>
    <w:rsid w:val="6E7535F2"/>
    <w:rsid w:val="6E867D7E"/>
    <w:rsid w:val="6E9031D2"/>
    <w:rsid w:val="6EA26EBA"/>
    <w:rsid w:val="6EA3685C"/>
    <w:rsid w:val="6EA93A02"/>
    <w:rsid w:val="6EA94CAA"/>
    <w:rsid w:val="6EB82671"/>
    <w:rsid w:val="6EB93F23"/>
    <w:rsid w:val="6EC46267"/>
    <w:rsid w:val="6EE32E7E"/>
    <w:rsid w:val="6EEC7401"/>
    <w:rsid w:val="6F1376C3"/>
    <w:rsid w:val="6F2C3683"/>
    <w:rsid w:val="6F3438FE"/>
    <w:rsid w:val="6F4F2974"/>
    <w:rsid w:val="6F620913"/>
    <w:rsid w:val="6F792D83"/>
    <w:rsid w:val="6F7C1783"/>
    <w:rsid w:val="6F886D91"/>
    <w:rsid w:val="6F987F6C"/>
    <w:rsid w:val="6F9E5FE6"/>
    <w:rsid w:val="6FB60AA4"/>
    <w:rsid w:val="6FB80BAE"/>
    <w:rsid w:val="6FE435E2"/>
    <w:rsid w:val="6FE56F8C"/>
    <w:rsid w:val="6FF147E5"/>
    <w:rsid w:val="700F2AE9"/>
    <w:rsid w:val="70135BB5"/>
    <w:rsid w:val="70250468"/>
    <w:rsid w:val="70401FAD"/>
    <w:rsid w:val="704E6ADD"/>
    <w:rsid w:val="7050761C"/>
    <w:rsid w:val="70513CB8"/>
    <w:rsid w:val="705A5C5F"/>
    <w:rsid w:val="706649BB"/>
    <w:rsid w:val="70771287"/>
    <w:rsid w:val="707C2AC6"/>
    <w:rsid w:val="707F6715"/>
    <w:rsid w:val="708F00D2"/>
    <w:rsid w:val="70953AE9"/>
    <w:rsid w:val="709F4A1B"/>
    <w:rsid w:val="70B60065"/>
    <w:rsid w:val="70B700AB"/>
    <w:rsid w:val="70BD477C"/>
    <w:rsid w:val="70C358EB"/>
    <w:rsid w:val="70D32EA6"/>
    <w:rsid w:val="70E60573"/>
    <w:rsid w:val="70E8412A"/>
    <w:rsid w:val="70EE0A73"/>
    <w:rsid w:val="70FA28DF"/>
    <w:rsid w:val="70FE3652"/>
    <w:rsid w:val="71123BBC"/>
    <w:rsid w:val="711A1BBF"/>
    <w:rsid w:val="711D26D8"/>
    <w:rsid w:val="712A16A5"/>
    <w:rsid w:val="713071CC"/>
    <w:rsid w:val="713E2211"/>
    <w:rsid w:val="715116B1"/>
    <w:rsid w:val="715A0DD5"/>
    <w:rsid w:val="716F4D48"/>
    <w:rsid w:val="71807801"/>
    <w:rsid w:val="71864EB3"/>
    <w:rsid w:val="71A679B0"/>
    <w:rsid w:val="71C74E28"/>
    <w:rsid w:val="71CC33CB"/>
    <w:rsid w:val="71D113D8"/>
    <w:rsid w:val="71ED6B1C"/>
    <w:rsid w:val="721208F6"/>
    <w:rsid w:val="721C3487"/>
    <w:rsid w:val="722500E5"/>
    <w:rsid w:val="722A3235"/>
    <w:rsid w:val="72352139"/>
    <w:rsid w:val="72385CF5"/>
    <w:rsid w:val="72396D25"/>
    <w:rsid w:val="723C058A"/>
    <w:rsid w:val="72523A9F"/>
    <w:rsid w:val="72576694"/>
    <w:rsid w:val="727F4F56"/>
    <w:rsid w:val="729C52D0"/>
    <w:rsid w:val="729F643E"/>
    <w:rsid w:val="72B45833"/>
    <w:rsid w:val="72BD5938"/>
    <w:rsid w:val="72DC5407"/>
    <w:rsid w:val="72DE0C74"/>
    <w:rsid w:val="72DE581E"/>
    <w:rsid w:val="72EE3BF8"/>
    <w:rsid w:val="73236553"/>
    <w:rsid w:val="732D67E6"/>
    <w:rsid w:val="73323BC2"/>
    <w:rsid w:val="7337294D"/>
    <w:rsid w:val="73611BFA"/>
    <w:rsid w:val="737A0F36"/>
    <w:rsid w:val="73A3132D"/>
    <w:rsid w:val="73A56FB1"/>
    <w:rsid w:val="73AD58D2"/>
    <w:rsid w:val="73B904F2"/>
    <w:rsid w:val="73CA79E4"/>
    <w:rsid w:val="73D417D0"/>
    <w:rsid w:val="73DC25B7"/>
    <w:rsid w:val="73DD3000"/>
    <w:rsid w:val="73F119DE"/>
    <w:rsid w:val="742F6CB1"/>
    <w:rsid w:val="74540C5A"/>
    <w:rsid w:val="745B0BD9"/>
    <w:rsid w:val="74630B99"/>
    <w:rsid w:val="746C77AD"/>
    <w:rsid w:val="74724345"/>
    <w:rsid w:val="74A129F8"/>
    <w:rsid w:val="74AB6275"/>
    <w:rsid w:val="74B52C41"/>
    <w:rsid w:val="74CE7225"/>
    <w:rsid w:val="74D6758D"/>
    <w:rsid w:val="74D72CEB"/>
    <w:rsid w:val="74E81AF6"/>
    <w:rsid w:val="74ED1B60"/>
    <w:rsid w:val="74EE7DCD"/>
    <w:rsid w:val="74FB4A3A"/>
    <w:rsid w:val="74FB56B8"/>
    <w:rsid w:val="75002D8F"/>
    <w:rsid w:val="75066DFF"/>
    <w:rsid w:val="751034A0"/>
    <w:rsid w:val="752124F6"/>
    <w:rsid w:val="75247D29"/>
    <w:rsid w:val="755E4F03"/>
    <w:rsid w:val="75603735"/>
    <w:rsid w:val="756126A7"/>
    <w:rsid w:val="756D5A81"/>
    <w:rsid w:val="757B21EE"/>
    <w:rsid w:val="757D2E0A"/>
    <w:rsid w:val="757F1B7D"/>
    <w:rsid w:val="758801BC"/>
    <w:rsid w:val="758D14FB"/>
    <w:rsid w:val="7591214B"/>
    <w:rsid w:val="75921856"/>
    <w:rsid w:val="759248DB"/>
    <w:rsid w:val="759A32BE"/>
    <w:rsid w:val="759D0891"/>
    <w:rsid w:val="75A13BE3"/>
    <w:rsid w:val="75A97544"/>
    <w:rsid w:val="75AA7179"/>
    <w:rsid w:val="75B63F32"/>
    <w:rsid w:val="75BD5705"/>
    <w:rsid w:val="75C64179"/>
    <w:rsid w:val="75CE1A2B"/>
    <w:rsid w:val="75DB67EF"/>
    <w:rsid w:val="75E700F1"/>
    <w:rsid w:val="75E83E93"/>
    <w:rsid w:val="762B32B4"/>
    <w:rsid w:val="762F59D5"/>
    <w:rsid w:val="76401A14"/>
    <w:rsid w:val="766963ED"/>
    <w:rsid w:val="767638E9"/>
    <w:rsid w:val="767B1974"/>
    <w:rsid w:val="76AC6526"/>
    <w:rsid w:val="76B91DFB"/>
    <w:rsid w:val="76D46A44"/>
    <w:rsid w:val="76DC2D1F"/>
    <w:rsid w:val="7700696C"/>
    <w:rsid w:val="77053C2E"/>
    <w:rsid w:val="770B67E8"/>
    <w:rsid w:val="770C2856"/>
    <w:rsid w:val="77220ECE"/>
    <w:rsid w:val="77225E28"/>
    <w:rsid w:val="77270EBC"/>
    <w:rsid w:val="773979F5"/>
    <w:rsid w:val="774953D7"/>
    <w:rsid w:val="774C22F0"/>
    <w:rsid w:val="775D7143"/>
    <w:rsid w:val="77645EEA"/>
    <w:rsid w:val="776D5DFB"/>
    <w:rsid w:val="777D2BAD"/>
    <w:rsid w:val="777F6B53"/>
    <w:rsid w:val="778368A2"/>
    <w:rsid w:val="778F6A6B"/>
    <w:rsid w:val="7793627A"/>
    <w:rsid w:val="779A566B"/>
    <w:rsid w:val="77B95BD8"/>
    <w:rsid w:val="77C277EB"/>
    <w:rsid w:val="77D44800"/>
    <w:rsid w:val="77E4206C"/>
    <w:rsid w:val="77E63657"/>
    <w:rsid w:val="77F7422B"/>
    <w:rsid w:val="77F83194"/>
    <w:rsid w:val="77FB2317"/>
    <w:rsid w:val="77FE6EC3"/>
    <w:rsid w:val="78007CF9"/>
    <w:rsid w:val="780A01D4"/>
    <w:rsid w:val="780D7166"/>
    <w:rsid w:val="781F5638"/>
    <w:rsid w:val="7820299A"/>
    <w:rsid w:val="782C52C6"/>
    <w:rsid w:val="784350C2"/>
    <w:rsid w:val="78494AF2"/>
    <w:rsid w:val="78566520"/>
    <w:rsid w:val="78593C43"/>
    <w:rsid w:val="785C6C24"/>
    <w:rsid w:val="78821ED4"/>
    <w:rsid w:val="788735BA"/>
    <w:rsid w:val="78AA6863"/>
    <w:rsid w:val="78B93DB5"/>
    <w:rsid w:val="78BB31EC"/>
    <w:rsid w:val="78C334B5"/>
    <w:rsid w:val="78D32D84"/>
    <w:rsid w:val="78DE71F2"/>
    <w:rsid w:val="78E5494C"/>
    <w:rsid w:val="78E86CEB"/>
    <w:rsid w:val="78ED1816"/>
    <w:rsid w:val="78F277B7"/>
    <w:rsid w:val="78F40890"/>
    <w:rsid w:val="78F552CE"/>
    <w:rsid w:val="78FF571B"/>
    <w:rsid w:val="79454841"/>
    <w:rsid w:val="794C187A"/>
    <w:rsid w:val="79507948"/>
    <w:rsid w:val="796B4F79"/>
    <w:rsid w:val="796D63B3"/>
    <w:rsid w:val="79775156"/>
    <w:rsid w:val="7982075F"/>
    <w:rsid w:val="79855386"/>
    <w:rsid w:val="79881111"/>
    <w:rsid w:val="798A2E37"/>
    <w:rsid w:val="7996100A"/>
    <w:rsid w:val="799B2B28"/>
    <w:rsid w:val="799E0E85"/>
    <w:rsid w:val="79B11FF3"/>
    <w:rsid w:val="79B6356F"/>
    <w:rsid w:val="79BD06B8"/>
    <w:rsid w:val="79C80983"/>
    <w:rsid w:val="79E7420E"/>
    <w:rsid w:val="79E932B1"/>
    <w:rsid w:val="79EB4A3B"/>
    <w:rsid w:val="79EE7EA3"/>
    <w:rsid w:val="79F04F62"/>
    <w:rsid w:val="79F2708F"/>
    <w:rsid w:val="79F44093"/>
    <w:rsid w:val="7A0715C4"/>
    <w:rsid w:val="7A084776"/>
    <w:rsid w:val="7A187C1F"/>
    <w:rsid w:val="7A222F98"/>
    <w:rsid w:val="7A223683"/>
    <w:rsid w:val="7A2D7FBD"/>
    <w:rsid w:val="7A2F4FA9"/>
    <w:rsid w:val="7A3B4DB4"/>
    <w:rsid w:val="7A792F4B"/>
    <w:rsid w:val="7A7A5DE2"/>
    <w:rsid w:val="7A82212E"/>
    <w:rsid w:val="7A824392"/>
    <w:rsid w:val="7A836C31"/>
    <w:rsid w:val="7A890144"/>
    <w:rsid w:val="7A9154D0"/>
    <w:rsid w:val="7A9B7002"/>
    <w:rsid w:val="7AC616F8"/>
    <w:rsid w:val="7AD34B2F"/>
    <w:rsid w:val="7AD80F70"/>
    <w:rsid w:val="7AF10053"/>
    <w:rsid w:val="7AF30178"/>
    <w:rsid w:val="7AFB65CE"/>
    <w:rsid w:val="7B0F473D"/>
    <w:rsid w:val="7B1B63BF"/>
    <w:rsid w:val="7B273418"/>
    <w:rsid w:val="7B394FBF"/>
    <w:rsid w:val="7B3F0437"/>
    <w:rsid w:val="7B48378A"/>
    <w:rsid w:val="7B4C20B4"/>
    <w:rsid w:val="7B4C6BF3"/>
    <w:rsid w:val="7B5D52EE"/>
    <w:rsid w:val="7B687708"/>
    <w:rsid w:val="7B730BEE"/>
    <w:rsid w:val="7B876DB8"/>
    <w:rsid w:val="7B8832FE"/>
    <w:rsid w:val="7B8A5C33"/>
    <w:rsid w:val="7B95344E"/>
    <w:rsid w:val="7BA171BD"/>
    <w:rsid w:val="7BAD1BC0"/>
    <w:rsid w:val="7BB26EFB"/>
    <w:rsid w:val="7C023E80"/>
    <w:rsid w:val="7C0D6D8F"/>
    <w:rsid w:val="7C226475"/>
    <w:rsid w:val="7C262A0B"/>
    <w:rsid w:val="7C2F774A"/>
    <w:rsid w:val="7C3359D2"/>
    <w:rsid w:val="7C3450CE"/>
    <w:rsid w:val="7C441F0D"/>
    <w:rsid w:val="7C59090C"/>
    <w:rsid w:val="7C5958B6"/>
    <w:rsid w:val="7C6371D9"/>
    <w:rsid w:val="7C6B3AD2"/>
    <w:rsid w:val="7C92494F"/>
    <w:rsid w:val="7C9E2D92"/>
    <w:rsid w:val="7CAA2C31"/>
    <w:rsid w:val="7CB6725C"/>
    <w:rsid w:val="7CB8453B"/>
    <w:rsid w:val="7CEC36BC"/>
    <w:rsid w:val="7D0C07D9"/>
    <w:rsid w:val="7D0F451E"/>
    <w:rsid w:val="7D1C7FA6"/>
    <w:rsid w:val="7D2D1D30"/>
    <w:rsid w:val="7D3D5E13"/>
    <w:rsid w:val="7D50246B"/>
    <w:rsid w:val="7D642930"/>
    <w:rsid w:val="7D675161"/>
    <w:rsid w:val="7D6C4AB7"/>
    <w:rsid w:val="7D8252A5"/>
    <w:rsid w:val="7D927750"/>
    <w:rsid w:val="7DB06620"/>
    <w:rsid w:val="7E0967F4"/>
    <w:rsid w:val="7E0B32B4"/>
    <w:rsid w:val="7E23081B"/>
    <w:rsid w:val="7E286B1E"/>
    <w:rsid w:val="7E287558"/>
    <w:rsid w:val="7E2B743E"/>
    <w:rsid w:val="7E2F2636"/>
    <w:rsid w:val="7E4B0C16"/>
    <w:rsid w:val="7E530B84"/>
    <w:rsid w:val="7E5A4CDD"/>
    <w:rsid w:val="7E6F1315"/>
    <w:rsid w:val="7E802922"/>
    <w:rsid w:val="7E894B3B"/>
    <w:rsid w:val="7EAB7FAA"/>
    <w:rsid w:val="7EB0473F"/>
    <w:rsid w:val="7EBE19A2"/>
    <w:rsid w:val="7EDA11E8"/>
    <w:rsid w:val="7EDA7AD5"/>
    <w:rsid w:val="7EDD4631"/>
    <w:rsid w:val="7EE16FBC"/>
    <w:rsid w:val="7EF31D0B"/>
    <w:rsid w:val="7EF54F47"/>
    <w:rsid w:val="7F1831D0"/>
    <w:rsid w:val="7F1A107E"/>
    <w:rsid w:val="7F202D56"/>
    <w:rsid w:val="7F205DD3"/>
    <w:rsid w:val="7F242642"/>
    <w:rsid w:val="7F2670B7"/>
    <w:rsid w:val="7F2A5377"/>
    <w:rsid w:val="7F421686"/>
    <w:rsid w:val="7F49495D"/>
    <w:rsid w:val="7F5358F1"/>
    <w:rsid w:val="7F543B4C"/>
    <w:rsid w:val="7F56759E"/>
    <w:rsid w:val="7F581F60"/>
    <w:rsid w:val="7F635AA8"/>
    <w:rsid w:val="7F693FCF"/>
    <w:rsid w:val="7F7B5593"/>
    <w:rsid w:val="7F7F02C5"/>
    <w:rsid w:val="7F997B0B"/>
    <w:rsid w:val="7FA16B84"/>
    <w:rsid w:val="7FAB0CF1"/>
    <w:rsid w:val="7FB42CA9"/>
    <w:rsid w:val="7FC35AD3"/>
    <w:rsid w:val="7FCF0A1D"/>
    <w:rsid w:val="7FD553EA"/>
    <w:rsid w:val="7FDC4F23"/>
    <w:rsid w:val="7FE41826"/>
    <w:rsid w:val="7FE5155E"/>
    <w:rsid w:val="7FF4301B"/>
    <w:rsid w:val="7FFF1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next w:val="1"/>
    <w:qFormat/>
    <w:uiPriority w:val="0"/>
    <w:pPr>
      <w:keepNext/>
      <w:keepLines/>
      <w:widowControl w:val="0"/>
      <w:spacing w:before="100" w:beforeLines="0" w:beforeAutospacing="0" w:after="80" w:afterLines="0" w:afterAutospacing="0" w:line="480" w:lineRule="exact"/>
      <w:ind w:firstLine="960" w:firstLineChars="200"/>
      <w:jc w:val="left"/>
      <w:outlineLvl w:val="2"/>
    </w:pPr>
    <w:rPr>
      <w:rFonts w:asciiTheme="minorHAnsi" w:hAnsiTheme="minorHAnsi" w:eastAsiaTheme="minorEastAsia" w:cstheme="minorBidi"/>
      <w:kern w:val="2"/>
      <w:sz w:val="32"/>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qFormat/>
    <w:uiPriority w:val="0"/>
    <w:pPr>
      <w:widowControl w:val="0"/>
      <w:spacing w:before="100" w:beforeAutospacing="1" w:after="100" w:afterAutospacing="1"/>
      <w:ind w:left="0" w:right="0"/>
      <w:jc w:val="left"/>
    </w:pPr>
    <w:rPr>
      <w:rFonts w:ascii="Calibri" w:hAnsi="Calibri" w:eastAsia="宋体" w:cs="Times New Roman"/>
      <w:kern w:val="0"/>
      <w:sz w:val="24"/>
      <w:szCs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customStyle="1" w:styleId="14">
    <w:name w:val="font11"/>
    <w:qFormat/>
    <w:uiPriority w:val="0"/>
    <w:rPr>
      <w:rFonts w:hint="eastAsia" w:ascii="仿宋" w:hAnsi="仿宋" w:eastAsia="仿宋" w:cs="仿宋"/>
      <w:color w:val="000000"/>
      <w:sz w:val="24"/>
      <w:szCs w:val="24"/>
      <w:u w:val="none"/>
    </w:rPr>
  </w:style>
  <w:style w:type="character" w:customStyle="1" w:styleId="15">
    <w:name w:val="font31"/>
    <w:basedOn w:val="12"/>
    <w:qFormat/>
    <w:uiPriority w:val="0"/>
    <w:rPr>
      <w:rFonts w:hint="eastAsia" w:ascii="仿宋" w:hAnsi="仿宋" w:eastAsia="仿宋" w:cs="仿宋"/>
      <w:b/>
      <w:color w:val="FF0000"/>
      <w:sz w:val="20"/>
      <w:szCs w:val="20"/>
      <w:u w:val="none"/>
    </w:rPr>
  </w:style>
  <w:style w:type="character" w:customStyle="1" w:styleId="16">
    <w:name w:val="font61"/>
    <w:basedOn w:val="12"/>
    <w:qFormat/>
    <w:uiPriority w:val="0"/>
    <w:rPr>
      <w:rFonts w:hint="eastAsia" w:ascii="仿宋" w:hAnsi="仿宋" w:eastAsia="仿宋" w:cs="仿宋"/>
      <w:b/>
      <w:color w:val="000000"/>
      <w:sz w:val="20"/>
      <w:szCs w:val="20"/>
      <w:u w:val="none"/>
    </w:rPr>
  </w:style>
  <w:style w:type="character" w:customStyle="1" w:styleId="17">
    <w:name w:val="font121"/>
    <w:basedOn w:val="12"/>
    <w:qFormat/>
    <w:uiPriority w:val="0"/>
    <w:rPr>
      <w:rFonts w:ascii="Arial" w:hAnsi="Arial" w:cs="Arial"/>
      <w:color w:val="000000"/>
      <w:sz w:val="20"/>
      <w:szCs w:val="20"/>
      <w:u w:val="none"/>
    </w:rPr>
  </w:style>
  <w:style w:type="character" w:customStyle="1" w:styleId="18">
    <w:name w:val="font21"/>
    <w:basedOn w:val="12"/>
    <w:qFormat/>
    <w:uiPriority w:val="0"/>
    <w:rPr>
      <w:rFonts w:hint="eastAsia" w:ascii="仿宋" w:hAnsi="仿宋" w:eastAsia="仿宋" w:cs="仿宋"/>
      <w:color w:val="FF0000"/>
      <w:sz w:val="20"/>
      <w:szCs w:val="20"/>
      <w:u w:val="none"/>
    </w:rPr>
  </w:style>
  <w:style w:type="character" w:customStyle="1" w:styleId="19">
    <w:name w:val="font51"/>
    <w:basedOn w:val="12"/>
    <w:qFormat/>
    <w:uiPriority w:val="0"/>
    <w:rPr>
      <w:rFonts w:hint="eastAsia" w:ascii="仿宋" w:hAnsi="仿宋" w:eastAsia="仿宋" w:cs="仿宋"/>
      <w:b/>
      <w:color w:val="FF0000"/>
      <w:sz w:val="20"/>
      <w:szCs w:val="20"/>
      <w:u w:val="none"/>
    </w:rPr>
  </w:style>
  <w:style w:type="character" w:customStyle="1" w:styleId="20">
    <w:name w:val="font81"/>
    <w:basedOn w:val="12"/>
    <w:qFormat/>
    <w:uiPriority w:val="0"/>
    <w:rPr>
      <w:rFonts w:hint="eastAsia" w:ascii="仿宋" w:hAnsi="仿宋" w:eastAsia="仿宋" w:cs="仿宋"/>
      <w:color w:val="FF0000"/>
      <w:sz w:val="20"/>
      <w:szCs w:val="20"/>
      <w:u w:val="none"/>
    </w:rPr>
  </w:style>
  <w:style w:type="character" w:customStyle="1" w:styleId="21">
    <w:name w:val="font71"/>
    <w:basedOn w:val="12"/>
    <w:qFormat/>
    <w:uiPriority w:val="0"/>
    <w:rPr>
      <w:rFonts w:hint="eastAsia" w:ascii="仿宋" w:hAnsi="仿宋" w:eastAsia="仿宋" w:cs="仿宋"/>
      <w:color w:val="000000"/>
      <w:sz w:val="20"/>
      <w:szCs w:val="20"/>
      <w:u w:val="none"/>
    </w:rPr>
  </w:style>
  <w:style w:type="paragraph" w:customStyle="1" w:styleId="22">
    <w:name w:val="WPSOffice手动目录 1"/>
    <w:qFormat/>
    <w:uiPriority w:val="0"/>
    <w:pPr>
      <w:ind w:leftChars="0"/>
    </w:pPr>
    <w:rPr>
      <w:rFonts w:ascii="Times New Roman" w:hAnsi="Times New Roman" w:eastAsia="宋体" w:cs="Times New Roman"/>
      <w:sz w:val="20"/>
      <w:szCs w:val="20"/>
    </w:rPr>
  </w:style>
  <w:style w:type="paragraph" w:customStyle="1" w:styleId="23">
    <w:name w:val="WPSOffice手动目录 2"/>
    <w:qFormat/>
    <w:uiPriority w:val="0"/>
    <w:pPr>
      <w:ind w:leftChars="200"/>
    </w:pPr>
    <w:rPr>
      <w:rFonts w:ascii="Times New Roman" w:hAnsi="Times New Roman" w:eastAsia="宋体" w:cs="Times New Roman"/>
      <w:sz w:val="20"/>
      <w:szCs w:val="20"/>
    </w:rPr>
  </w:style>
  <w:style w:type="character" w:customStyle="1" w:styleId="24">
    <w:name w:val="font01"/>
    <w:basedOn w:val="12"/>
    <w:qFormat/>
    <w:uiPriority w:val="0"/>
    <w:rPr>
      <w:rFonts w:ascii="方正仿宋简体" w:hAnsi="方正仿宋简体" w:eastAsia="方正仿宋简体" w:cs="方正仿宋简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12562</Words>
  <Characters>13830</Characters>
  <Lines>1</Lines>
  <Paragraphs>1</Paragraphs>
  <TotalTime>9</TotalTime>
  <ScaleCrop>false</ScaleCrop>
  <LinksUpToDate>false</LinksUpToDate>
  <CharactersWithSpaces>14035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2019-12-31T00:25:00Z</dcterms:created>
  <dc:creator>冷酸灵</dc:creator>
  <cp:lastModifiedBy>Administrator</cp:lastModifiedBy>
  <dcterms:modified xsi:type="dcterms:W3CDTF">2023-07-10T02:17:58Z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87649096D53640FFB6B27FF8B16CABC4_12</vt:lpwstr>
  </property>
</Properties>
</file>